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864875">
      <w:pPr>
        <w:widowControl/>
        <w:spacing w:line="300" w:lineRule="auto"/>
        <w:jc w:val="center"/>
        <w:outlineLvl w:val="1"/>
        <w:rPr>
          <w:rFonts w:hint="eastAsia" w:cs="Helvetica" w:asciiTheme="minorEastAsia" w:hAnsiTheme="minorEastAsia"/>
          <w:b/>
          <w:bCs/>
          <w:kern w:val="0"/>
          <w:sz w:val="28"/>
          <w:szCs w:val="28"/>
          <w:highlight w:val="none"/>
        </w:rPr>
      </w:pPr>
      <w:r>
        <w:rPr>
          <w:rFonts w:hint="eastAsia" w:cs="Helvetica" w:asciiTheme="minorEastAsia" w:hAnsiTheme="minorEastAsia"/>
          <w:b/>
          <w:bCs/>
          <w:kern w:val="0"/>
          <w:sz w:val="28"/>
          <w:szCs w:val="28"/>
          <w:highlight w:val="none"/>
        </w:rPr>
        <w:t>交通运输学院202</w:t>
      </w:r>
      <w:r>
        <w:rPr>
          <w:rFonts w:hint="eastAsia" w:cs="Helvetica" w:asciiTheme="minorEastAsia" w:hAnsiTheme="minorEastAsia"/>
          <w:b/>
          <w:bCs/>
          <w:kern w:val="0"/>
          <w:sz w:val="28"/>
          <w:szCs w:val="28"/>
          <w:highlight w:val="none"/>
          <w:lang w:val="en-US" w:eastAsia="zh-CN"/>
        </w:rPr>
        <w:t>6</w:t>
      </w:r>
      <w:r>
        <w:rPr>
          <w:rFonts w:hint="eastAsia" w:cs="Helvetica" w:asciiTheme="minorEastAsia" w:hAnsiTheme="minorEastAsia"/>
          <w:b/>
          <w:bCs/>
          <w:kern w:val="0"/>
          <w:sz w:val="28"/>
          <w:szCs w:val="28"/>
          <w:highlight w:val="none"/>
        </w:rPr>
        <w:t>年研究生学业奖学金评审细则</w:t>
      </w:r>
    </w:p>
    <w:p w14:paraId="67B93E1A">
      <w:pPr>
        <w:widowControl/>
        <w:spacing w:line="300" w:lineRule="auto"/>
        <w:jc w:val="left"/>
        <w:rPr>
          <w:rFonts w:hint="eastAsia" w:asciiTheme="minorEastAsia" w:hAnsiTheme="minorEastAsia" w:eastAsiaTheme="minorEastAsia" w:cstheme="minorEastAsia"/>
          <w:b/>
          <w:bCs/>
          <w:kern w:val="0"/>
          <w:sz w:val="20"/>
          <w:szCs w:val="20"/>
          <w:highlight w:val="none"/>
        </w:rPr>
      </w:pPr>
    </w:p>
    <w:p w14:paraId="5AF4743B">
      <w:pPr>
        <w:widowControl/>
        <w:spacing w:line="300" w:lineRule="auto"/>
        <w:jc w:val="left"/>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b/>
          <w:bCs/>
          <w:kern w:val="0"/>
          <w:sz w:val="20"/>
          <w:szCs w:val="20"/>
          <w:highlight w:val="none"/>
        </w:rPr>
        <w:t>一、通则</w:t>
      </w:r>
    </w:p>
    <w:p w14:paraId="483928CB">
      <w:pPr>
        <w:widowControl/>
        <w:spacing w:line="300" w:lineRule="auto"/>
        <w:jc w:val="left"/>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b/>
          <w:bCs/>
          <w:kern w:val="0"/>
          <w:sz w:val="20"/>
          <w:szCs w:val="20"/>
          <w:highlight w:val="none"/>
        </w:rPr>
        <w:t>（一）总则</w:t>
      </w:r>
    </w:p>
    <w:p w14:paraId="6FFAC99E">
      <w:pPr>
        <w:widowControl/>
        <w:spacing w:line="300" w:lineRule="auto"/>
        <w:ind w:firstLine="420"/>
        <w:jc w:val="left"/>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kern w:val="0"/>
          <w:sz w:val="20"/>
          <w:szCs w:val="20"/>
          <w:highlight w:val="none"/>
        </w:rPr>
        <w:t>根据《关于开展202</w:t>
      </w:r>
      <w:r>
        <w:rPr>
          <w:rFonts w:hint="eastAsia" w:asciiTheme="minorEastAsia" w:hAnsiTheme="minorEastAsia" w:cstheme="minorEastAsia"/>
          <w:kern w:val="0"/>
          <w:sz w:val="20"/>
          <w:szCs w:val="20"/>
          <w:highlight w:val="none"/>
          <w:lang w:val="en-US" w:eastAsia="zh-CN"/>
        </w:rPr>
        <w:t>5</w:t>
      </w:r>
      <w:r>
        <w:rPr>
          <w:rFonts w:hint="eastAsia" w:asciiTheme="minorEastAsia" w:hAnsiTheme="minorEastAsia" w:eastAsiaTheme="minorEastAsia" w:cstheme="minorEastAsia"/>
          <w:kern w:val="0"/>
          <w:sz w:val="20"/>
          <w:szCs w:val="20"/>
          <w:highlight w:val="none"/>
        </w:rPr>
        <w:t>-202</w:t>
      </w:r>
      <w:r>
        <w:rPr>
          <w:rFonts w:hint="eastAsia" w:asciiTheme="minorEastAsia" w:hAnsiTheme="minorEastAsia" w:cstheme="minorEastAsia"/>
          <w:kern w:val="0"/>
          <w:sz w:val="20"/>
          <w:szCs w:val="20"/>
          <w:highlight w:val="none"/>
          <w:lang w:val="en-US" w:eastAsia="zh-CN"/>
        </w:rPr>
        <w:t>6</w:t>
      </w:r>
      <w:r>
        <w:rPr>
          <w:rFonts w:hint="eastAsia" w:asciiTheme="minorEastAsia" w:hAnsiTheme="minorEastAsia" w:eastAsiaTheme="minorEastAsia" w:cstheme="minorEastAsia"/>
          <w:kern w:val="0"/>
          <w:sz w:val="20"/>
          <w:szCs w:val="20"/>
          <w:highlight w:val="none"/>
        </w:rPr>
        <w:t>学年上海海事大学硕士研究生学业奖学金评选工作的通知》</w:t>
      </w:r>
      <w:r>
        <w:rPr>
          <w:rFonts w:hint="eastAsia" w:asciiTheme="minorEastAsia" w:hAnsiTheme="minorEastAsia" w:cstheme="minorEastAsia"/>
          <w:kern w:val="0"/>
          <w:sz w:val="20"/>
          <w:szCs w:val="20"/>
          <w:highlight w:val="none"/>
          <w:lang w:eastAsia="zh-CN"/>
        </w:rPr>
        <w:t>、</w:t>
      </w:r>
      <w:r>
        <w:rPr>
          <w:rFonts w:hint="eastAsia" w:asciiTheme="minorEastAsia" w:hAnsiTheme="minorEastAsia" w:eastAsiaTheme="minorEastAsia" w:cstheme="minorEastAsia"/>
          <w:kern w:val="0"/>
          <w:sz w:val="20"/>
          <w:szCs w:val="20"/>
          <w:highlight w:val="none"/>
        </w:rPr>
        <w:t>《关于开展202</w:t>
      </w:r>
      <w:r>
        <w:rPr>
          <w:rFonts w:hint="eastAsia" w:asciiTheme="minorEastAsia" w:hAnsiTheme="minorEastAsia" w:cstheme="minorEastAsia"/>
          <w:kern w:val="0"/>
          <w:sz w:val="20"/>
          <w:szCs w:val="20"/>
          <w:highlight w:val="none"/>
          <w:lang w:val="en-US" w:eastAsia="zh-CN"/>
        </w:rPr>
        <w:t>5</w:t>
      </w:r>
      <w:r>
        <w:rPr>
          <w:rFonts w:hint="eastAsia" w:asciiTheme="minorEastAsia" w:hAnsiTheme="minorEastAsia" w:eastAsiaTheme="minorEastAsia" w:cstheme="minorEastAsia"/>
          <w:kern w:val="0"/>
          <w:sz w:val="20"/>
          <w:szCs w:val="20"/>
          <w:highlight w:val="none"/>
        </w:rPr>
        <w:t>-202</w:t>
      </w:r>
      <w:r>
        <w:rPr>
          <w:rFonts w:hint="eastAsia" w:asciiTheme="minorEastAsia" w:hAnsiTheme="minorEastAsia" w:cstheme="minorEastAsia"/>
          <w:kern w:val="0"/>
          <w:sz w:val="20"/>
          <w:szCs w:val="20"/>
          <w:highlight w:val="none"/>
          <w:lang w:val="en-US" w:eastAsia="zh-CN"/>
        </w:rPr>
        <w:t>6</w:t>
      </w:r>
      <w:r>
        <w:rPr>
          <w:rFonts w:hint="eastAsia" w:asciiTheme="minorEastAsia" w:hAnsiTheme="minorEastAsia" w:eastAsiaTheme="minorEastAsia" w:cstheme="minorEastAsia"/>
          <w:kern w:val="0"/>
          <w:sz w:val="20"/>
          <w:szCs w:val="20"/>
          <w:highlight w:val="none"/>
        </w:rPr>
        <w:t>学年上海海事大学博士研究生学业奖学金评选工作的通知》、《上海海事大学研究生奖助学金管理办法》（沪海大研〔2024〕108号），现制定交通运输学院研究生学业奖学金评选细则。</w:t>
      </w:r>
    </w:p>
    <w:p w14:paraId="240D335F">
      <w:pPr>
        <w:widowControl/>
        <w:spacing w:line="300" w:lineRule="auto"/>
        <w:jc w:val="left"/>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b/>
          <w:bCs/>
          <w:kern w:val="0"/>
          <w:sz w:val="20"/>
          <w:szCs w:val="20"/>
          <w:highlight w:val="none"/>
        </w:rPr>
        <w:t>（二）研究生奖助学金评审小组</w:t>
      </w:r>
    </w:p>
    <w:p w14:paraId="259F1CFD">
      <w:pPr>
        <w:widowControl/>
        <w:spacing w:line="300" w:lineRule="auto"/>
        <w:ind w:firstLine="420"/>
        <w:jc w:val="left"/>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kern w:val="0"/>
          <w:sz w:val="20"/>
          <w:szCs w:val="20"/>
          <w:highlight w:val="none"/>
        </w:rPr>
        <w:t>学院设研究生奖助学金评审小组，以“公平、公正、公开”的原则，负责本单位研究生学业奖学金的申请、初步评审及公示上报等工作。</w:t>
      </w:r>
    </w:p>
    <w:p w14:paraId="3F75816F">
      <w:pPr>
        <w:widowControl/>
        <w:spacing w:line="300" w:lineRule="auto"/>
        <w:ind w:firstLine="420"/>
        <w:jc w:val="left"/>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kern w:val="0"/>
          <w:sz w:val="20"/>
          <w:szCs w:val="20"/>
          <w:highlight w:val="none"/>
        </w:rPr>
        <w:t>根据学校要求，经交通运输学院党政班子充分征求意见并经讨论，成立交通运输学院研究生奖助学金评审小组（1</w:t>
      </w:r>
      <w:r>
        <w:rPr>
          <w:rFonts w:hint="eastAsia" w:asciiTheme="minorEastAsia" w:hAnsiTheme="minorEastAsia" w:eastAsiaTheme="minorEastAsia" w:cstheme="minorEastAsia"/>
          <w:kern w:val="0"/>
          <w:sz w:val="20"/>
          <w:szCs w:val="20"/>
          <w:highlight w:val="none"/>
          <w:lang w:val="en-US" w:eastAsia="zh-CN"/>
        </w:rPr>
        <w:t>5</w:t>
      </w:r>
      <w:r>
        <w:rPr>
          <w:rFonts w:hint="eastAsia" w:asciiTheme="minorEastAsia" w:hAnsiTheme="minorEastAsia" w:eastAsiaTheme="minorEastAsia" w:cstheme="minorEastAsia"/>
          <w:kern w:val="0"/>
          <w:sz w:val="20"/>
          <w:szCs w:val="20"/>
          <w:highlight w:val="none"/>
        </w:rPr>
        <w:t>名），名单如下。</w:t>
      </w:r>
    </w:p>
    <w:p w14:paraId="3ED5181A">
      <w:pPr>
        <w:widowControl/>
        <w:spacing w:line="300" w:lineRule="auto"/>
        <w:ind w:firstLine="400" w:firstLineChars="200"/>
        <w:jc w:val="left"/>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kern w:val="0"/>
          <w:sz w:val="20"/>
          <w:szCs w:val="20"/>
          <w:highlight w:val="none"/>
        </w:rPr>
        <w:t>主任委员:沙梅</w:t>
      </w:r>
    </w:p>
    <w:p w14:paraId="68B98656">
      <w:pPr>
        <w:widowControl/>
        <w:spacing w:line="300" w:lineRule="auto"/>
        <w:ind w:firstLine="400" w:firstLineChars="200"/>
        <w:jc w:val="left"/>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kern w:val="0"/>
          <w:sz w:val="20"/>
          <w:szCs w:val="20"/>
          <w:highlight w:val="none"/>
        </w:rPr>
        <w:t>委员:李希平、翁金贤、杨芳梅、万征、付姗姗、雷超、汪磊、郑剑、王忠宇、周奕玮(学</w:t>
      </w:r>
    </w:p>
    <w:p w14:paraId="1E62C294">
      <w:pPr>
        <w:widowControl/>
        <w:spacing w:line="300" w:lineRule="auto"/>
        <w:jc w:val="left"/>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kern w:val="0"/>
          <w:sz w:val="20"/>
          <w:szCs w:val="20"/>
          <w:highlight w:val="none"/>
        </w:rPr>
        <w:t>生)</w:t>
      </w:r>
    </w:p>
    <w:p w14:paraId="0DD8F811">
      <w:pPr>
        <w:widowControl/>
        <w:spacing w:line="300" w:lineRule="auto"/>
        <w:ind w:firstLine="400" w:firstLineChars="200"/>
        <w:jc w:val="left"/>
        <w:rPr>
          <w:rFonts w:hint="eastAsia" w:asciiTheme="minorEastAsia" w:hAnsiTheme="minorEastAsia" w:eastAsiaTheme="minorEastAsia" w:cstheme="minorEastAsia"/>
          <w:b/>
          <w:kern w:val="0"/>
          <w:sz w:val="20"/>
          <w:szCs w:val="20"/>
          <w:highlight w:val="none"/>
        </w:rPr>
      </w:pPr>
      <w:r>
        <w:rPr>
          <w:rFonts w:hint="eastAsia" w:asciiTheme="minorEastAsia" w:hAnsiTheme="minorEastAsia" w:eastAsiaTheme="minorEastAsia" w:cstheme="minorEastAsia"/>
          <w:kern w:val="0"/>
          <w:sz w:val="20"/>
          <w:szCs w:val="20"/>
          <w:highlight w:val="none"/>
        </w:rPr>
        <w:t>秘书:罗琳、刘雨箫、卜天予、杜晓萌</w:t>
      </w:r>
    </w:p>
    <w:p w14:paraId="0D18E193">
      <w:pPr>
        <w:widowControl/>
        <w:spacing w:line="300" w:lineRule="auto"/>
        <w:jc w:val="left"/>
        <w:rPr>
          <w:rFonts w:hint="eastAsia" w:asciiTheme="minorEastAsia" w:hAnsiTheme="minorEastAsia" w:eastAsiaTheme="minorEastAsia" w:cstheme="minorEastAsia"/>
          <w:b/>
          <w:kern w:val="0"/>
          <w:sz w:val="20"/>
          <w:szCs w:val="20"/>
          <w:highlight w:val="none"/>
        </w:rPr>
      </w:pPr>
      <w:r>
        <w:rPr>
          <w:rFonts w:hint="eastAsia" w:asciiTheme="minorEastAsia" w:hAnsiTheme="minorEastAsia" w:eastAsiaTheme="minorEastAsia" w:cstheme="minorEastAsia"/>
          <w:b/>
          <w:kern w:val="0"/>
          <w:sz w:val="20"/>
          <w:szCs w:val="20"/>
          <w:highlight w:val="none"/>
        </w:rPr>
        <w:t>二、博士研究生学业奖学金</w:t>
      </w:r>
    </w:p>
    <w:p w14:paraId="207DA074">
      <w:pPr>
        <w:pStyle w:val="5"/>
        <w:keepNext w:val="0"/>
        <w:keepLines w:val="0"/>
        <w:pageBreakBefore w:val="0"/>
        <w:widowControl/>
        <w:shd w:val="clear" w:color="auto" w:fill="FFFFFF"/>
        <w:kinsoku/>
        <w:wordWrap/>
        <w:overflowPunct/>
        <w:topLinePunct w:val="0"/>
        <w:autoSpaceDE/>
        <w:autoSpaceDN/>
        <w:bidi w:val="0"/>
        <w:adjustRightInd/>
        <w:snapToGrid/>
        <w:spacing w:after="0" w:line="300" w:lineRule="auto"/>
        <w:ind w:firstLine="400" w:firstLineChars="200"/>
        <w:contextualSpacing/>
        <w:textAlignment w:val="baseline"/>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博士研究生学业奖学金评定直接参照《关于开展</w:t>
      </w:r>
      <w:r>
        <w:rPr>
          <w:rFonts w:hint="eastAsia" w:asciiTheme="minorEastAsia" w:hAnsiTheme="minorEastAsia" w:eastAsiaTheme="minorEastAsia" w:cstheme="minorEastAsia"/>
          <w:kern w:val="0"/>
          <w:sz w:val="20"/>
          <w:szCs w:val="20"/>
          <w:highlight w:val="none"/>
        </w:rPr>
        <w:t>202</w:t>
      </w:r>
      <w:r>
        <w:rPr>
          <w:rFonts w:hint="eastAsia" w:asciiTheme="minorEastAsia" w:hAnsiTheme="minorEastAsia" w:cstheme="minorEastAsia"/>
          <w:kern w:val="0"/>
          <w:sz w:val="20"/>
          <w:szCs w:val="20"/>
          <w:highlight w:val="none"/>
          <w:lang w:val="en-US" w:eastAsia="zh-CN"/>
        </w:rPr>
        <w:t>5</w:t>
      </w:r>
      <w:r>
        <w:rPr>
          <w:rFonts w:hint="eastAsia" w:asciiTheme="minorEastAsia" w:hAnsiTheme="minorEastAsia" w:eastAsiaTheme="minorEastAsia" w:cstheme="minorEastAsia"/>
          <w:kern w:val="0"/>
          <w:sz w:val="20"/>
          <w:szCs w:val="20"/>
          <w:highlight w:val="none"/>
        </w:rPr>
        <w:t>-202</w:t>
      </w:r>
      <w:r>
        <w:rPr>
          <w:rFonts w:hint="eastAsia" w:asciiTheme="minorEastAsia" w:hAnsiTheme="minorEastAsia" w:cstheme="minorEastAsia"/>
          <w:kern w:val="0"/>
          <w:sz w:val="20"/>
          <w:szCs w:val="20"/>
          <w:highlight w:val="none"/>
          <w:lang w:val="en-US" w:eastAsia="zh-CN"/>
        </w:rPr>
        <w:t>6</w:t>
      </w:r>
      <w:r>
        <w:rPr>
          <w:rFonts w:hint="eastAsia" w:asciiTheme="minorEastAsia" w:hAnsiTheme="minorEastAsia" w:eastAsiaTheme="minorEastAsia" w:cstheme="minorEastAsia"/>
          <w:sz w:val="20"/>
          <w:szCs w:val="20"/>
          <w:highlight w:val="none"/>
        </w:rPr>
        <w:t>学年上海海事大学博士研究生学业奖学金评选工作的通知》、《上海海事大学研究生奖助学金管理办法》（沪海大研〔2024〕108号），博士研究生向所在学院提交申请表后，由学院对博士研究生进行资格审核，形成学院</w:t>
      </w:r>
      <w:r>
        <w:rPr>
          <w:rFonts w:hint="eastAsia" w:asciiTheme="minorEastAsia" w:hAnsiTheme="minorEastAsia" w:eastAsiaTheme="minorEastAsia" w:cstheme="minorEastAsia"/>
          <w:kern w:val="0"/>
          <w:sz w:val="20"/>
          <w:szCs w:val="20"/>
          <w:highlight w:val="none"/>
        </w:rPr>
        <w:t>202</w:t>
      </w:r>
      <w:r>
        <w:rPr>
          <w:rFonts w:hint="eastAsia" w:asciiTheme="minorEastAsia" w:hAnsiTheme="minorEastAsia" w:cstheme="minorEastAsia"/>
          <w:kern w:val="0"/>
          <w:sz w:val="20"/>
          <w:szCs w:val="20"/>
          <w:highlight w:val="none"/>
          <w:lang w:val="en-US" w:eastAsia="zh-CN"/>
        </w:rPr>
        <w:t>5</w:t>
      </w:r>
      <w:r>
        <w:rPr>
          <w:rFonts w:hint="eastAsia" w:asciiTheme="minorEastAsia" w:hAnsiTheme="minorEastAsia" w:eastAsiaTheme="minorEastAsia" w:cstheme="minorEastAsia"/>
          <w:kern w:val="0"/>
          <w:sz w:val="20"/>
          <w:szCs w:val="20"/>
          <w:highlight w:val="none"/>
        </w:rPr>
        <w:t>-202</w:t>
      </w:r>
      <w:r>
        <w:rPr>
          <w:rFonts w:hint="eastAsia" w:asciiTheme="minorEastAsia" w:hAnsiTheme="minorEastAsia" w:cstheme="minorEastAsia"/>
          <w:kern w:val="0"/>
          <w:sz w:val="20"/>
          <w:szCs w:val="20"/>
          <w:highlight w:val="none"/>
          <w:lang w:val="en-US" w:eastAsia="zh-CN"/>
        </w:rPr>
        <w:t>6</w:t>
      </w:r>
      <w:r>
        <w:rPr>
          <w:rFonts w:hint="eastAsia" w:asciiTheme="minorEastAsia" w:hAnsiTheme="minorEastAsia" w:eastAsiaTheme="minorEastAsia" w:cstheme="minorEastAsia"/>
          <w:sz w:val="20"/>
          <w:szCs w:val="20"/>
          <w:highlight w:val="none"/>
        </w:rPr>
        <w:t>学年研究生学业奖学金推荐名单，由研究生院组织专家对博士研究生学业奖学金进行 评选。</w:t>
      </w:r>
    </w:p>
    <w:p w14:paraId="0EF237B5">
      <w:pPr>
        <w:keepNext w:val="0"/>
        <w:keepLines w:val="0"/>
        <w:pageBreakBefore w:val="0"/>
        <w:widowControl/>
        <w:kinsoku/>
        <w:wordWrap/>
        <w:overflowPunct/>
        <w:topLinePunct w:val="0"/>
        <w:autoSpaceDE/>
        <w:autoSpaceDN/>
        <w:bidi w:val="0"/>
        <w:adjustRightInd/>
        <w:snapToGrid/>
        <w:spacing w:line="300" w:lineRule="auto"/>
        <w:jc w:val="left"/>
        <w:rPr>
          <w:rFonts w:hint="eastAsia" w:asciiTheme="minorEastAsia" w:hAnsiTheme="minorEastAsia" w:eastAsiaTheme="minorEastAsia" w:cstheme="minorEastAsia"/>
          <w:b/>
          <w:bCs/>
          <w:kern w:val="0"/>
          <w:sz w:val="20"/>
          <w:szCs w:val="20"/>
          <w:highlight w:val="none"/>
        </w:rPr>
      </w:pPr>
    </w:p>
    <w:p w14:paraId="635A59E7">
      <w:pPr>
        <w:keepNext w:val="0"/>
        <w:keepLines w:val="0"/>
        <w:pageBreakBefore w:val="0"/>
        <w:widowControl/>
        <w:kinsoku/>
        <w:wordWrap/>
        <w:overflowPunct/>
        <w:topLinePunct w:val="0"/>
        <w:autoSpaceDE/>
        <w:autoSpaceDN/>
        <w:bidi w:val="0"/>
        <w:adjustRightInd/>
        <w:snapToGrid/>
        <w:spacing w:line="300" w:lineRule="auto"/>
        <w:jc w:val="left"/>
        <w:rPr>
          <w:rFonts w:hint="eastAsia" w:asciiTheme="minorEastAsia" w:hAnsiTheme="minorEastAsia" w:eastAsiaTheme="minorEastAsia" w:cstheme="minorEastAsia"/>
          <w:b/>
          <w:bCs/>
          <w:kern w:val="0"/>
          <w:sz w:val="20"/>
          <w:szCs w:val="20"/>
          <w:highlight w:val="none"/>
        </w:rPr>
      </w:pPr>
      <w:r>
        <w:rPr>
          <w:rFonts w:hint="eastAsia" w:asciiTheme="minorEastAsia" w:hAnsiTheme="minorEastAsia" w:eastAsiaTheme="minorEastAsia" w:cstheme="minorEastAsia"/>
          <w:b/>
          <w:bCs/>
          <w:kern w:val="0"/>
          <w:sz w:val="20"/>
          <w:szCs w:val="20"/>
          <w:highlight w:val="none"/>
        </w:rPr>
        <w:t>三、硕士研究生学业奖学金评选对象、评选名称、评选条件、评选原则和名额分配</w:t>
      </w:r>
    </w:p>
    <w:p w14:paraId="10E733E6">
      <w:pPr>
        <w:keepNext w:val="0"/>
        <w:keepLines w:val="0"/>
        <w:pageBreakBefore w:val="0"/>
        <w:widowControl/>
        <w:kinsoku/>
        <w:wordWrap/>
        <w:overflowPunct/>
        <w:topLinePunct w:val="0"/>
        <w:autoSpaceDE/>
        <w:autoSpaceDN/>
        <w:bidi w:val="0"/>
        <w:adjustRightInd/>
        <w:snapToGrid/>
        <w:spacing w:line="300" w:lineRule="auto"/>
        <w:jc w:val="left"/>
        <w:rPr>
          <w:rFonts w:hint="eastAsia" w:asciiTheme="minorEastAsia" w:hAnsiTheme="minorEastAsia" w:eastAsiaTheme="minorEastAsia" w:cstheme="minorEastAsia"/>
          <w:b/>
          <w:bCs/>
          <w:kern w:val="0"/>
          <w:sz w:val="20"/>
          <w:szCs w:val="20"/>
          <w:highlight w:val="none"/>
        </w:rPr>
      </w:pPr>
      <w:r>
        <w:rPr>
          <w:rFonts w:hint="eastAsia" w:asciiTheme="minorEastAsia" w:hAnsiTheme="minorEastAsia" w:eastAsiaTheme="minorEastAsia" w:cstheme="minorEastAsia"/>
          <w:b/>
          <w:bCs/>
          <w:kern w:val="0"/>
          <w:sz w:val="20"/>
          <w:szCs w:val="20"/>
          <w:highlight w:val="none"/>
        </w:rPr>
        <w:t>（一）评选对象</w:t>
      </w:r>
    </w:p>
    <w:p w14:paraId="78BA9E27">
      <w:pPr>
        <w:widowControl/>
        <w:spacing w:line="300" w:lineRule="auto"/>
        <w:ind w:firstLine="400" w:firstLineChars="200"/>
        <w:jc w:val="left"/>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kern w:val="0"/>
          <w:sz w:val="20"/>
          <w:szCs w:val="20"/>
          <w:highlight w:val="none"/>
        </w:rPr>
        <w:t>硕士研究生学业奖学金适用于</w:t>
      </w:r>
      <w:r>
        <w:rPr>
          <w:rFonts w:hint="eastAsia" w:asciiTheme="minorEastAsia" w:hAnsiTheme="minorEastAsia" w:cstheme="minorEastAsia"/>
          <w:kern w:val="0"/>
          <w:sz w:val="20"/>
          <w:szCs w:val="20"/>
          <w:highlight w:val="none"/>
          <w:lang w:val="en-US" w:eastAsia="zh-CN"/>
        </w:rPr>
        <w:t>2024</w:t>
      </w:r>
      <w:r>
        <w:rPr>
          <w:rFonts w:hint="eastAsia" w:asciiTheme="minorEastAsia" w:hAnsiTheme="minorEastAsia" w:eastAsiaTheme="minorEastAsia" w:cstheme="minorEastAsia"/>
          <w:kern w:val="0"/>
          <w:sz w:val="20"/>
          <w:szCs w:val="20"/>
          <w:highlight w:val="none"/>
        </w:rPr>
        <w:t>、202</w:t>
      </w:r>
      <w:r>
        <w:rPr>
          <w:rFonts w:hint="eastAsia" w:asciiTheme="minorEastAsia" w:hAnsiTheme="minorEastAsia" w:cstheme="minorEastAsia"/>
          <w:kern w:val="0"/>
          <w:sz w:val="20"/>
          <w:szCs w:val="20"/>
          <w:highlight w:val="none"/>
          <w:lang w:val="en-US" w:eastAsia="zh-CN"/>
        </w:rPr>
        <w:t>5</w:t>
      </w:r>
      <w:r>
        <w:rPr>
          <w:rFonts w:hint="eastAsia" w:asciiTheme="minorEastAsia" w:hAnsiTheme="minorEastAsia" w:eastAsiaTheme="minorEastAsia" w:cstheme="minorEastAsia"/>
          <w:kern w:val="0"/>
          <w:sz w:val="20"/>
          <w:szCs w:val="20"/>
          <w:highlight w:val="none"/>
        </w:rPr>
        <w:t>和202</w:t>
      </w:r>
      <w:r>
        <w:rPr>
          <w:rFonts w:hint="eastAsia" w:asciiTheme="minorEastAsia" w:hAnsiTheme="minorEastAsia" w:cstheme="minorEastAsia"/>
          <w:kern w:val="0"/>
          <w:sz w:val="20"/>
          <w:szCs w:val="20"/>
          <w:highlight w:val="none"/>
          <w:lang w:val="en-US" w:eastAsia="zh-CN"/>
        </w:rPr>
        <w:t>6</w:t>
      </w:r>
      <w:r>
        <w:rPr>
          <w:rFonts w:hint="eastAsia" w:asciiTheme="minorEastAsia" w:hAnsiTheme="minorEastAsia" w:eastAsiaTheme="minorEastAsia" w:cstheme="minorEastAsia"/>
          <w:kern w:val="0"/>
          <w:sz w:val="20"/>
          <w:szCs w:val="20"/>
          <w:highlight w:val="none"/>
        </w:rPr>
        <w:t>级中国籍非定向在校全日制硕士研究生(基本学制年限内)。根据中华人民共和国教育部令第41号《普通高等学校学生管理规定》第十二条规定未按学校规定缴纳学费，不予注册，也无法申请学业奖学金（申请助学贷款学生等特殊学生除外，但需要提供贷款证明等相关材料）。</w:t>
      </w:r>
    </w:p>
    <w:p w14:paraId="149E17AB">
      <w:pPr>
        <w:widowControl/>
        <w:spacing w:line="300" w:lineRule="auto"/>
        <w:jc w:val="left"/>
        <w:rPr>
          <w:rFonts w:hint="eastAsia" w:asciiTheme="minorEastAsia" w:hAnsiTheme="minorEastAsia" w:eastAsiaTheme="minorEastAsia" w:cstheme="minorEastAsia"/>
          <w:b/>
          <w:kern w:val="0"/>
          <w:sz w:val="20"/>
          <w:szCs w:val="20"/>
          <w:highlight w:val="none"/>
        </w:rPr>
      </w:pPr>
      <w:r>
        <w:rPr>
          <w:rFonts w:hint="eastAsia" w:asciiTheme="minorEastAsia" w:hAnsiTheme="minorEastAsia" w:eastAsiaTheme="minorEastAsia" w:cstheme="minorEastAsia"/>
          <w:b/>
          <w:kern w:val="0"/>
          <w:sz w:val="20"/>
          <w:szCs w:val="20"/>
          <w:highlight w:val="none"/>
        </w:rPr>
        <w:t>（二）评选名称</w:t>
      </w:r>
    </w:p>
    <w:p w14:paraId="1DCB5A9F">
      <w:pPr>
        <w:widowControl/>
        <w:spacing w:line="300" w:lineRule="auto"/>
        <w:ind w:firstLine="400" w:firstLineChars="200"/>
        <w:jc w:val="left"/>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kern w:val="0"/>
          <w:sz w:val="20"/>
          <w:szCs w:val="20"/>
          <w:highlight w:val="none"/>
        </w:rPr>
        <w:t>此次奖学金评选名称为硕士研究生学业奖学金。针对硕士研究生新生的研究生学业奖学金，统一称为硕士一年级研究生奖学金；针对硕士二、三年级的研究生学业奖学金，统一称为硕士研究生学业综合奖学金。</w:t>
      </w:r>
    </w:p>
    <w:p w14:paraId="6EF25F23">
      <w:pPr>
        <w:widowControl/>
        <w:spacing w:line="300" w:lineRule="auto"/>
        <w:jc w:val="left"/>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b/>
          <w:kern w:val="0"/>
          <w:sz w:val="20"/>
          <w:szCs w:val="20"/>
          <w:highlight w:val="none"/>
        </w:rPr>
        <w:t>（三）评选条件</w:t>
      </w:r>
    </w:p>
    <w:p w14:paraId="230FF97D">
      <w:pPr>
        <w:widowControl/>
        <w:spacing w:line="300" w:lineRule="auto"/>
        <w:ind w:firstLine="400" w:firstLineChars="200"/>
        <w:jc w:val="left"/>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kern w:val="0"/>
          <w:sz w:val="20"/>
          <w:szCs w:val="20"/>
          <w:highlight w:val="none"/>
        </w:rPr>
        <w:t>1.热爱社会主义祖国，拥护中国共产党的领导；</w:t>
      </w:r>
    </w:p>
    <w:p w14:paraId="41146FD5">
      <w:pPr>
        <w:widowControl/>
        <w:spacing w:line="300" w:lineRule="auto"/>
        <w:ind w:firstLine="400" w:firstLineChars="200"/>
        <w:jc w:val="left"/>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kern w:val="0"/>
          <w:sz w:val="20"/>
          <w:szCs w:val="20"/>
          <w:highlight w:val="none"/>
        </w:rPr>
        <w:t>2.遵守宪法和法律，遵守学院学校规章制度；</w:t>
      </w:r>
    </w:p>
    <w:p w14:paraId="77F3A6E5">
      <w:pPr>
        <w:widowControl/>
        <w:spacing w:line="300" w:lineRule="auto"/>
        <w:ind w:firstLine="400" w:firstLineChars="200"/>
        <w:jc w:val="left"/>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kern w:val="0"/>
          <w:sz w:val="20"/>
          <w:szCs w:val="20"/>
          <w:highlight w:val="none"/>
        </w:rPr>
        <w:t>3.诚实守信，品学兼优；</w:t>
      </w:r>
    </w:p>
    <w:p w14:paraId="5B13B445">
      <w:pPr>
        <w:widowControl/>
        <w:spacing w:line="300" w:lineRule="auto"/>
        <w:ind w:firstLine="400" w:firstLineChars="200"/>
        <w:jc w:val="left"/>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kern w:val="0"/>
          <w:sz w:val="20"/>
          <w:szCs w:val="20"/>
          <w:highlight w:val="none"/>
        </w:rPr>
        <w:t>4.有较强的科研潜力；</w:t>
      </w:r>
    </w:p>
    <w:p w14:paraId="0ADF8A05">
      <w:pPr>
        <w:pStyle w:val="5"/>
        <w:shd w:val="clear" w:color="auto" w:fill="FFFFFF"/>
        <w:spacing w:after="0" w:line="300" w:lineRule="auto"/>
        <w:ind w:firstLine="400" w:firstLineChars="200"/>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5.</w:t>
      </w:r>
      <w:r>
        <w:rPr>
          <w:rFonts w:hint="eastAsia" w:asciiTheme="minorEastAsia" w:hAnsiTheme="minorEastAsia" w:eastAsiaTheme="minorEastAsia" w:cstheme="minorEastAsia"/>
          <w:kern w:val="0"/>
          <w:sz w:val="20"/>
          <w:szCs w:val="20"/>
          <w:highlight w:val="none"/>
        </w:rPr>
        <w:t>202</w:t>
      </w:r>
      <w:r>
        <w:rPr>
          <w:rFonts w:hint="eastAsia" w:asciiTheme="minorEastAsia" w:hAnsiTheme="minorEastAsia" w:eastAsiaTheme="minorEastAsia" w:cstheme="minorEastAsia"/>
          <w:kern w:val="0"/>
          <w:sz w:val="20"/>
          <w:szCs w:val="20"/>
          <w:highlight w:val="none"/>
          <w:lang w:val="en-US" w:eastAsia="zh-CN"/>
        </w:rPr>
        <w:t>4</w:t>
      </w:r>
      <w:r>
        <w:rPr>
          <w:rFonts w:hint="eastAsia" w:asciiTheme="minorEastAsia" w:hAnsiTheme="minorEastAsia" w:eastAsiaTheme="minorEastAsia" w:cstheme="minorEastAsia"/>
          <w:kern w:val="0"/>
          <w:sz w:val="20"/>
          <w:szCs w:val="20"/>
          <w:highlight w:val="none"/>
        </w:rPr>
        <w:t>、20</w:t>
      </w:r>
      <w:r>
        <w:rPr>
          <w:rFonts w:hint="eastAsia" w:asciiTheme="minorEastAsia" w:hAnsiTheme="minorEastAsia" w:eastAsiaTheme="minorEastAsia" w:cstheme="minorEastAsia"/>
          <w:kern w:val="0"/>
          <w:sz w:val="20"/>
          <w:szCs w:val="20"/>
          <w:highlight w:val="none"/>
          <w:lang w:val="en-US" w:eastAsia="zh-CN"/>
        </w:rPr>
        <w:t>25</w:t>
      </w:r>
      <w:r>
        <w:rPr>
          <w:rFonts w:hint="eastAsia" w:asciiTheme="minorEastAsia" w:hAnsiTheme="minorEastAsia" w:eastAsiaTheme="minorEastAsia" w:cstheme="minorEastAsia"/>
          <w:kern w:val="0"/>
          <w:sz w:val="20"/>
          <w:szCs w:val="20"/>
          <w:highlight w:val="none"/>
        </w:rPr>
        <w:t>和20</w:t>
      </w:r>
      <w:r>
        <w:rPr>
          <w:rFonts w:hint="eastAsia" w:asciiTheme="minorEastAsia" w:hAnsiTheme="minorEastAsia" w:eastAsiaTheme="minorEastAsia" w:cstheme="minorEastAsia"/>
          <w:kern w:val="0"/>
          <w:sz w:val="20"/>
          <w:szCs w:val="20"/>
          <w:highlight w:val="none"/>
          <w:lang w:val="en-US" w:eastAsia="zh-CN"/>
        </w:rPr>
        <w:t>26</w:t>
      </w:r>
      <w:r>
        <w:rPr>
          <w:rFonts w:hint="eastAsia" w:asciiTheme="minorEastAsia" w:hAnsiTheme="minorEastAsia" w:eastAsiaTheme="minorEastAsia" w:cstheme="minorEastAsia"/>
          <w:kern w:val="0"/>
          <w:sz w:val="20"/>
          <w:szCs w:val="20"/>
          <w:highlight w:val="none"/>
        </w:rPr>
        <w:t>级</w:t>
      </w:r>
      <w:r>
        <w:rPr>
          <w:rFonts w:hint="eastAsia" w:asciiTheme="minorEastAsia" w:hAnsiTheme="minorEastAsia" w:eastAsiaTheme="minorEastAsia" w:cstheme="minorEastAsia"/>
          <w:sz w:val="20"/>
          <w:szCs w:val="20"/>
          <w:highlight w:val="none"/>
        </w:rPr>
        <w:t>研究生有下列情形之一的，取消研究生学业奖学金的评选资格：</w:t>
      </w:r>
    </w:p>
    <w:p w14:paraId="72251E69">
      <w:pPr>
        <w:widowControl/>
        <w:spacing w:line="300" w:lineRule="auto"/>
        <w:ind w:firstLine="210"/>
        <w:jc w:val="left"/>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kern w:val="0"/>
          <w:sz w:val="20"/>
          <w:szCs w:val="20"/>
          <w:highlight w:val="none"/>
        </w:rPr>
        <w:t>（1）申请奖学金当年未按学校规定缴纳学费、未完成报到注册手续的。</w:t>
      </w:r>
    </w:p>
    <w:p w14:paraId="62B8FD33">
      <w:pPr>
        <w:widowControl/>
        <w:spacing w:line="300" w:lineRule="auto"/>
        <w:ind w:firstLine="210"/>
        <w:jc w:val="left"/>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kern w:val="0"/>
          <w:sz w:val="20"/>
          <w:szCs w:val="20"/>
          <w:highlight w:val="none"/>
        </w:rPr>
        <w:t>（2）未按培养计划修满规定学分，或者202</w:t>
      </w:r>
      <w:r>
        <w:rPr>
          <w:rFonts w:hint="eastAsia" w:asciiTheme="minorEastAsia" w:hAnsiTheme="minorEastAsia" w:cstheme="minorEastAsia"/>
          <w:kern w:val="0"/>
          <w:sz w:val="20"/>
          <w:szCs w:val="20"/>
          <w:highlight w:val="none"/>
          <w:lang w:val="en-US" w:eastAsia="zh-CN"/>
        </w:rPr>
        <w:t>5</w:t>
      </w:r>
      <w:r>
        <w:rPr>
          <w:rFonts w:hint="eastAsia" w:asciiTheme="minorEastAsia" w:hAnsiTheme="minorEastAsia" w:eastAsiaTheme="minorEastAsia" w:cstheme="minorEastAsia"/>
          <w:kern w:val="0"/>
          <w:sz w:val="20"/>
          <w:szCs w:val="20"/>
          <w:highlight w:val="none"/>
        </w:rPr>
        <w:t>-202</w:t>
      </w:r>
      <w:r>
        <w:rPr>
          <w:rFonts w:hint="eastAsia" w:asciiTheme="minorEastAsia" w:hAnsiTheme="minorEastAsia" w:cstheme="minorEastAsia"/>
          <w:kern w:val="0"/>
          <w:sz w:val="20"/>
          <w:szCs w:val="20"/>
          <w:highlight w:val="none"/>
          <w:lang w:val="en-US" w:eastAsia="zh-CN"/>
        </w:rPr>
        <w:t>6</w:t>
      </w:r>
      <w:r>
        <w:rPr>
          <w:rFonts w:hint="eastAsia" w:asciiTheme="minorEastAsia" w:hAnsiTheme="minorEastAsia" w:eastAsiaTheme="minorEastAsia" w:cstheme="minorEastAsia"/>
          <w:kern w:val="0"/>
          <w:sz w:val="20"/>
          <w:szCs w:val="20"/>
          <w:highlight w:val="none"/>
          <w:lang w:val="en-US" w:eastAsia="zh-CN"/>
        </w:rPr>
        <w:t>学年</w:t>
      </w:r>
      <w:r>
        <w:rPr>
          <w:rFonts w:hint="eastAsia" w:asciiTheme="minorEastAsia" w:hAnsiTheme="minorEastAsia" w:eastAsiaTheme="minorEastAsia" w:cstheme="minorEastAsia"/>
          <w:kern w:val="0"/>
          <w:sz w:val="20"/>
          <w:szCs w:val="20"/>
          <w:highlight w:val="none"/>
        </w:rPr>
        <w:t>有过挂科记录的；</w:t>
      </w:r>
    </w:p>
    <w:p w14:paraId="45A5F945">
      <w:pPr>
        <w:widowControl/>
        <w:spacing w:line="300" w:lineRule="auto"/>
        <w:ind w:firstLine="210"/>
        <w:jc w:val="left"/>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kern w:val="0"/>
          <w:sz w:val="20"/>
          <w:szCs w:val="20"/>
          <w:highlight w:val="none"/>
        </w:rPr>
        <w:t>（3）202</w:t>
      </w:r>
      <w:r>
        <w:rPr>
          <w:rFonts w:hint="eastAsia" w:asciiTheme="minorEastAsia" w:hAnsiTheme="minorEastAsia" w:cstheme="minorEastAsia"/>
          <w:kern w:val="0"/>
          <w:sz w:val="20"/>
          <w:szCs w:val="20"/>
          <w:highlight w:val="none"/>
          <w:lang w:val="en-US" w:eastAsia="zh-CN"/>
        </w:rPr>
        <w:t>5</w:t>
      </w:r>
      <w:r>
        <w:rPr>
          <w:rFonts w:hint="eastAsia" w:asciiTheme="minorEastAsia" w:hAnsiTheme="minorEastAsia" w:eastAsiaTheme="minorEastAsia" w:cstheme="minorEastAsia"/>
          <w:kern w:val="0"/>
          <w:sz w:val="20"/>
          <w:szCs w:val="20"/>
          <w:highlight w:val="none"/>
        </w:rPr>
        <w:t>-202</w:t>
      </w:r>
      <w:r>
        <w:rPr>
          <w:rFonts w:hint="eastAsia" w:asciiTheme="minorEastAsia" w:hAnsiTheme="minorEastAsia" w:cstheme="minorEastAsia"/>
          <w:kern w:val="0"/>
          <w:sz w:val="20"/>
          <w:szCs w:val="20"/>
          <w:highlight w:val="none"/>
          <w:lang w:val="en-US" w:eastAsia="zh-CN"/>
        </w:rPr>
        <w:t>6</w:t>
      </w:r>
      <w:r>
        <w:rPr>
          <w:rFonts w:hint="eastAsia" w:asciiTheme="minorEastAsia" w:hAnsiTheme="minorEastAsia" w:eastAsiaTheme="minorEastAsia" w:cstheme="minorEastAsia"/>
          <w:kern w:val="0"/>
          <w:sz w:val="20"/>
          <w:szCs w:val="20"/>
          <w:highlight w:val="none"/>
          <w:lang w:val="en-US" w:eastAsia="zh-CN"/>
        </w:rPr>
        <w:t>学年</w:t>
      </w:r>
      <w:r>
        <w:rPr>
          <w:rFonts w:hint="eastAsia" w:asciiTheme="minorEastAsia" w:hAnsiTheme="minorEastAsia" w:eastAsiaTheme="minorEastAsia" w:cstheme="minorEastAsia"/>
          <w:kern w:val="0"/>
          <w:sz w:val="20"/>
          <w:szCs w:val="20"/>
          <w:highlight w:val="none"/>
        </w:rPr>
        <w:t>受到学院、学校纪律处分，或者受到行政处罚、刑事处分的；</w:t>
      </w:r>
    </w:p>
    <w:p w14:paraId="2D92CACA">
      <w:pPr>
        <w:widowControl/>
        <w:numPr>
          <w:ilvl w:val="0"/>
          <w:numId w:val="1"/>
        </w:numPr>
        <w:spacing w:line="300" w:lineRule="auto"/>
        <w:ind w:firstLine="210"/>
        <w:contextualSpacing/>
        <w:jc w:val="left"/>
        <w:rPr>
          <w:rFonts w:hint="eastAsia" w:asciiTheme="minorEastAsia" w:hAnsiTheme="minorEastAsia" w:cstheme="minorEastAsia"/>
          <w:kern w:val="0"/>
          <w:sz w:val="20"/>
          <w:szCs w:val="20"/>
          <w:highlight w:val="none"/>
          <w:lang w:eastAsia="zh-CN"/>
        </w:rPr>
      </w:pPr>
      <w:r>
        <w:rPr>
          <w:rFonts w:hint="eastAsia" w:asciiTheme="minorEastAsia" w:hAnsiTheme="minorEastAsia" w:eastAsiaTheme="minorEastAsia" w:cstheme="minorEastAsia"/>
          <w:kern w:val="0"/>
          <w:sz w:val="20"/>
          <w:szCs w:val="20"/>
          <w:highlight w:val="none"/>
        </w:rPr>
        <w:t>在申请奖学金过程中隐瞒真实情况、弄虚作假的，取消评选资格，并由学院和研究生院将其行为记入个人档案</w:t>
      </w:r>
      <w:r>
        <w:rPr>
          <w:rFonts w:hint="eastAsia" w:asciiTheme="minorEastAsia" w:hAnsiTheme="minorEastAsia" w:cstheme="minorEastAsia"/>
          <w:kern w:val="0"/>
          <w:sz w:val="20"/>
          <w:szCs w:val="20"/>
          <w:highlight w:val="none"/>
          <w:lang w:eastAsia="zh-CN"/>
        </w:rPr>
        <w:t>。</w:t>
      </w:r>
    </w:p>
    <w:p w14:paraId="509D6125">
      <w:pPr>
        <w:widowControl/>
        <w:numPr>
          <w:ilvl w:val="0"/>
          <w:numId w:val="1"/>
        </w:numPr>
        <w:spacing w:line="300" w:lineRule="auto"/>
        <w:ind w:firstLine="210"/>
        <w:contextualSpacing/>
        <w:jc w:val="left"/>
        <w:rPr>
          <w:rFonts w:hint="eastAsia" w:asciiTheme="minorEastAsia" w:hAnsiTheme="minorEastAsia" w:eastAsiaTheme="minorEastAsia" w:cstheme="minorEastAsia"/>
          <w:kern w:val="0"/>
          <w:sz w:val="20"/>
          <w:szCs w:val="20"/>
          <w:highlight w:val="none"/>
          <w:lang w:eastAsia="zh-CN"/>
        </w:rPr>
      </w:pPr>
      <w:r>
        <w:rPr>
          <w:rFonts w:hint="eastAsia" w:asciiTheme="minorEastAsia" w:hAnsiTheme="minorEastAsia" w:eastAsiaTheme="minorEastAsia" w:cstheme="minorEastAsia"/>
          <w:kern w:val="0"/>
          <w:sz w:val="20"/>
          <w:szCs w:val="20"/>
          <w:highlight w:val="none"/>
          <w:lang w:val="en-US" w:eastAsia="zh-CN"/>
        </w:rPr>
        <w:t>研究生手册规定的其他不能参与奖学金评定的情况。</w:t>
      </w:r>
    </w:p>
    <w:p w14:paraId="0EFA5144">
      <w:pPr>
        <w:widowControl/>
        <w:spacing w:line="300" w:lineRule="auto"/>
        <w:contextualSpacing/>
        <w:jc w:val="left"/>
        <w:rPr>
          <w:rFonts w:hint="eastAsia" w:asciiTheme="minorEastAsia" w:hAnsiTheme="minorEastAsia" w:eastAsiaTheme="minorEastAsia" w:cstheme="minorEastAsia"/>
          <w:b/>
          <w:kern w:val="0"/>
          <w:sz w:val="20"/>
          <w:szCs w:val="20"/>
          <w:highlight w:val="none"/>
        </w:rPr>
      </w:pPr>
      <w:r>
        <w:rPr>
          <w:rFonts w:hint="eastAsia" w:asciiTheme="minorEastAsia" w:hAnsiTheme="minorEastAsia" w:eastAsiaTheme="minorEastAsia" w:cstheme="minorEastAsia"/>
          <w:b/>
          <w:kern w:val="0"/>
          <w:sz w:val="20"/>
          <w:szCs w:val="20"/>
          <w:highlight w:val="none"/>
        </w:rPr>
        <w:t>（四）评选原则</w:t>
      </w:r>
    </w:p>
    <w:p w14:paraId="01CAEAB3">
      <w:pPr>
        <w:widowControl/>
        <w:spacing w:line="300" w:lineRule="auto"/>
        <w:ind w:firstLine="400" w:firstLineChars="200"/>
        <w:contextualSpacing/>
        <w:jc w:val="left"/>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kern w:val="0"/>
          <w:sz w:val="20"/>
          <w:szCs w:val="20"/>
          <w:highlight w:val="none"/>
        </w:rPr>
        <w:t>1.硕士一年级研究生奖学金专为20</w:t>
      </w:r>
      <w:r>
        <w:rPr>
          <w:rFonts w:hint="eastAsia" w:asciiTheme="minorEastAsia" w:hAnsiTheme="minorEastAsia" w:eastAsiaTheme="minorEastAsia" w:cstheme="minorEastAsia"/>
          <w:kern w:val="0"/>
          <w:sz w:val="20"/>
          <w:szCs w:val="20"/>
          <w:highlight w:val="none"/>
          <w:lang w:val="en-US" w:eastAsia="zh-CN"/>
        </w:rPr>
        <w:t>2</w:t>
      </w:r>
      <w:r>
        <w:rPr>
          <w:rFonts w:hint="eastAsia" w:asciiTheme="minorEastAsia" w:hAnsiTheme="minorEastAsia" w:cstheme="minorEastAsia"/>
          <w:kern w:val="0"/>
          <w:sz w:val="20"/>
          <w:szCs w:val="20"/>
          <w:highlight w:val="none"/>
          <w:lang w:val="en-US" w:eastAsia="zh-CN"/>
        </w:rPr>
        <w:t>6</w:t>
      </w:r>
      <w:r>
        <w:rPr>
          <w:rFonts w:hint="eastAsia" w:asciiTheme="minorEastAsia" w:hAnsiTheme="minorEastAsia" w:eastAsiaTheme="minorEastAsia" w:cstheme="minorEastAsia"/>
          <w:kern w:val="0"/>
          <w:sz w:val="20"/>
          <w:szCs w:val="20"/>
          <w:highlight w:val="none"/>
        </w:rPr>
        <w:t>级非定向全日制硕士新生设立，以吸引优秀生源为导向。对20</w:t>
      </w:r>
      <w:r>
        <w:rPr>
          <w:rFonts w:hint="eastAsia" w:asciiTheme="minorEastAsia" w:hAnsiTheme="minorEastAsia" w:eastAsiaTheme="minorEastAsia" w:cstheme="minorEastAsia"/>
          <w:kern w:val="0"/>
          <w:sz w:val="20"/>
          <w:szCs w:val="20"/>
          <w:highlight w:val="none"/>
          <w:lang w:val="en-US" w:eastAsia="zh-CN"/>
        </w:rPr>
        <w:t>2</w:t>
      </w:r>
      <w:r>
        <w:rPr>
          <w:rFonts w:hint="eastAsia" w:asciiTheme="minorEastAsia" w:hAnsiTheme="minorEastAsia" w:cstheme="minorEastAsia"/>
          <w:kern w:val="0"/>
          <w:sz w:val="20"/>
          <w:szCs w:val="20"/>
          <w:highlight w:val="none"/>
          <w:lang w:val="en-US" w:eastAsia="zh-CN"/>
        </w:rPr>
        <w:t>6</w:t>
      </w:r>
      <w:r>
        <w:rPr>
          <w:rFonts w:hint="eastAsia" w:asciiTheme="minorEastAsia" w:hAnsiTheme="minorEastAsia" w:eastAsiaTheme="minorEastAsia" w:cstheme="minorEastAsia"/>
          <w:kern w:val="0"/>
          <w:sz w:val="20"/>
          <w:szCs w:val="20"/>
          <w:highlight w:val="none"/>
        </w:rPr>
        <w:t>级硕士研究生，学院将根据入学考试初试、复试成绩以及考生</w:t>
      </w:r>
      <w:r>
        <w:rPr>
          <w:rFonts w:hint="eastAsia" w:asciiTheme="minorEastAsia" w:hAnsiTheme="minorEastAsia" w:cstheme="minorEastAsia"/>
          <w:kern w:val="0"/>
          <w:sz w:val="20"/>
          <w:szCs w:val="20"/>
          <w:highlight w:val="none"/>
          <w:lang w:val="en-US" w:eastAsia="zh-CN"/>
        </w:rPr>
        <w:t>生源</w:t>
      </w:r>
      <w:r>
        <w:rPr>
          <w:rFonts w:hint="eastAsia" w:asciiTheme="minorEastAsia" w:hAnsiTheme="minorEastAsia" w:eastAsiaTheme="minorEastAsia" w:cstheme="minorEastAsia"/>
          <w:kern w:val="0"/>
          <w:sz w:val="20"/>
          <w:szCs w:val="20"/>
          <w:highlight w:val="none"/>
        </w:rPr>
        <w:t>等因素进行综合排序，综合考虑成绩优异的有科研创新能力和社会实践能力潜能的考生情况，择优确定获奖研究生及获奖等级；</w:t>
      </w:r>
    </w:p>
    <w:p w14:paraId="703017CF">
      <w:pPr>
        <w:widowControl/>
        <w:shd w:val="clear" w:color="auto" w:fill="FFFFFF"/>
        <w:spacing w:line="300" w:lineRule="auto"/>
        <w:ind w:firstLine="400" w:firstLineChars="200"/>
        <w:contextualSpacing/>
        <w:jc w:val="left"/>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kern w:val="0"/>
          <w:sz w:val="20"/>
          <w:szCs w:val="20"/>
          <w:highlight w:val="none"/>
        </w:rPr>
        <w:t>2.研究生学业综合奖学金为20</w:t>
      </w:r>
      <w:r>
        <w:rPr>
          <w:rFonts w:hint="eastAsia" w:asciiTheme="minorEastAsia" w:hAnsiTheme="minorEastAsia" w:eastAsiaTheme="minorEastAsia" w:cstheme="minorEastAsia"/>
          <w:kern w:val="0"/>
          <w:sz w:val="20"/>
          <w:szCs w:val="20"/>
          <w:highlight w:val="none"/>
          <w:lang w:val="en-US" w:eastAsia="zh-CN"/>
        </w:rPr>
        <w:t>2</w:t>
      </w:r>
      <w:r>
        <w:rPr>
          <w:rFonts w:hint="eastAsia" w:asciiTheme="minorEastAsia" w:hAnsiTheme="minorEastAsia" w:cstheme="minorEastAsia"/>
          <w:kern w:val="0"/>
          <w:sz w:val="20"/>
          <w:szCs w:val="20"/>
          <w:highlight w:val="none"/>
          <w:lang w:val="en-US" w:eastAsia="zh-CN"/>
        </w:rPr>
        <w:t>4</w:t>
      </w:r>
      <w:r>
        <w:rPr>
          <w:rFonts w:hint="eastAsia" w:asciiTheme="minorEastAsia" w:hAnsiTheme="minorEastAsia" w:eastAsiaTheme="minorEastAsia" w:cstheme="minorEastAsia"/>
          <w:kern w:val="0"/>
          <w:sz w:val="20"/>
          <w:szCs w:val="20"/>
          <w:highlight w:val="none"/>
        </w:rPr>
        <w:t>、20</w:t>
      </w:r>
      <w:r>
        <w:rPr>
          <w:rFonts w:hint="eastAsia" w:asciiTheme="minorEastAsia" w:hAnsiTheme="minorEastAsia" w:eastAsiaTheme="minorEastAsia" w:cstheme="minorEastAsia"/>
          <w:kern w:val="0"/>
          <w:sz w:val="20"/>
          <w:szCs w:val="20"/>
          <w:highlight w:val="none"/>
          <w:lang w:val="en-US" w:eastAsia="zh-CN"/>
        </w:rPr>
        <w:t>2</w:t>
      </w:r>
      <w:r>
        <w:rPr>
          <w:rFonts w:hint="eastAsia" w:asciiTheme="minorEastAsia" w:hAnsiTheme="minorEastAsia" w:cstheme="minorEastAsia"/>
          <w:kern w:val="0"/>
          <w:sz w:val="20"/>
          <w:szCs w:val="20"/>
          <w:highlight w:val="none"/>
          <w:lang w:val="en-US" w:eastAsia="zh-CN"/>
        </w:rPr>
        <w:t>5</w:t>
      </w:r>
      <w:r>
        <w:rPr>
          <w:rFonts w:hint="eastAsia" w:asciiTheme="minorEastAsia" w:hAnsiTheme="minorEastAsia" w:eastAsiaTheme="minorEastAsia" w:cstheme="minorEastAsia"/>
          <w:kern w:val="0"/>
          <w:sz w:val="20"/>
          <w:szCs w:val="20"/>
          <w:highlight w:val="none"/>
        </w:rPr>
        <w:t>级硕士研究生设立，以鼓励学习优秀，有科研创新能力和社会实践能力潜能的研究生。20</w:t>
      </w:r>
      <w:r>
        <w:rPr>
          <w:rFonts w:hint="eastAsia" w:asciiTheme="minorEastAsia" w:hAnsiTheme="minorEastAsia" w:eastAsiaTheme="minorEastAsia" w:cstheme="minorEastAsia"/>
          <w:kern w:val="0"/>
          <w:sz w:val="20"/>
          <w:szCs w:val="20"/>
          <w:highlight w:val="none"/>
          <w:lang w:val="en-US" w:eastAsia="zh-CN"/>
        </w:rPr>
        <w:t>2</w:t>
      </w:r>
      <w:r>
        <w:rPr>
          <w:rFonts w:hint="eastAsia" w:asciiTheme="minorEastAsia" w:hAnsiTheme="minorEastAsia" w:cstheme="minorEastAsia"/>
          <w:kern w:val="0"/>
          <w:sz w:val="20"/>
          <w:szCs w:val="20"/>
          <w:highlight w:val="none"/>
          <w:lang w:val="en-US" w:eastAsia="zh-CN"/>
        </w:rPr>
        <w:t>4</w:t>
      </w:r>
      <w:r>
        <w:rPr>
          <w:rFonts w:hint="eastAsia" w:asciiTheme="minorEastAsia" w:hAnsiTheme="minorEastAsia" w:eastAsiaTheme="minorEastAsia" w:cstheme="minorEastAsia"/>
          <w:kern w:val="0"/>
          <w:sz w:val="20"/>
          <w:szCs w:val="20"/>
          <w:highlight w:val="none"/>
        </w:rPr>
        <w:t>、20</w:t>
      </w:r>
      <w:r>
        <w:rPr>
          <w:rFonts w:hint="eastAsia" w:asciiTheme="minorEastAsia" w:hAnsiTheme="minorEastAsia" w:eastAsiaTheme="minorEastAsia" w:cstheme="minorEastAsia"/>
          <w:kern w:val="0"/>
          <w:sz w:val="20"/>
          <w:szCs w:val="20"/>
          <w:highlight w:val="none"/>
          <w:lang w:val="en-US" w:eastAsia="zh-CN"/>
        </w:rPr>
        <w:t>2</w:t>
      </w:r>
      <w:r>
        <w:rPr>
          <w:rFonts w:hint="eastAsia" w:asciiTheme="minorEastAsia" w:hAnsiTheme="minorEastAsia" w:cstheme="minorEastAsia"/>
          <w:kern w:val="0"/>
          <w:sz w:val="20"/>
          <w:szCs w:val="20"/>
          <w:highlight w:val="none"/>
          <w:lang w:val="en-US" w:eastAsia="zh-CN"/>
        </w:rPr>
        <w:t>5</w:t>
      </w:r>
      <w:r>
        <w:rPr>
          <w:rFonts w:hint="eastAsia" w:asciiTheme="minorEastAsia" w:hAnsiTheme="minorEastAsia" w:eastAsiaTheme="minorEastAsia" w:cstheme="minorEastAsia"/>
          <w:kern w:val="0"/>
          <w:sz w:val="20"/>
          <w:szCs w:val="20"/>
          <w:highlight w:val="none"/>
        </w:rPr>
        <w:t>级</w:t>
      </w:r>
      <w:r>
        <w:rPr>
          <w:rFonts w:hint="eastAsia" w:asciiTheme="minorEastAsia" w:hAnsiTheme="minorEastAsia" w:eastAsiaTheme="minorEastAsia" w:cstheme="minorEastAsia"/>
          <w:sz w:val="20"/>
          <w:szCs w:val="20"/>
          <w:highlight w:val="none"/>
        </w:rPr>
        <w:t>硕士研究生，</w:t>
      </w:r>
      <w:r>
        <w:rPr>
          <w:rFonts w:hint="eastAsia" w:asciiTheme="minorEastAsia" w:hAnsiTheme="minorEastAsia" w:eastAsiaTheme="minorEastAsia" w:cstheme="minorEastAsia"/>
          <w:kern w:val="0"/>
          <w:sz w:val="20"/>
          <w:szCs w:val="20"/>
          <w:highlight w:val="none"/>
        </w:rPr>
        <w:t>学院将根据研究生在校期间的综合表现确定获奖研究生及获奖等级</w:t>
      </w:r>
      <w:r>
        <w:rPr>
          <w:rFonts w:hint="eastAsia" w:asciiTheme="minorEastAsia" w:hAnsiTheme="minorEastAsia" w:eastAsiaTheme="minorEastAsia" w:cstheme="minorEastAsia"/>
          <w:sz w:val="20"/>
          <w:szCs w:val="20"/>
          <w:highlight w:val="none"/>
        </w:rPr>
        <w:t>。</w:t>
      </w:r>
    </w:p>
    <w:p w14:paraId="11DB1EFB">
      <w:pPr>
        <w:widowControl/>
        <w:spacing w:line="300" w:lineRule="auto"/>
        <w:contextualSpacing/>
        <w:jc w:val="left"/>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b/>
          <w:bCs/>
          <w:kern w:val="0"/>
          <w:sz w:val="20"/>
          <w:szCs w:val="20"/>
          <w:highlight w:val="none"/>
        </w:rPr>
        <w:t>（五）名额分配</w:t>
      </w:r>
    </w:p>
    <w:p w14:paraId="1C8FCD7A">
      <w:pPr>
        <w:widowControl/>
        <w:spacing w:line="300" w:lineRule="auto"/>
        <w:ind w:firstLine="400" w:firstLineChars="200"/>
        <w:jc w:val="left"/>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kern w:val="0"/>
          <w:sz w:val="20"/>
          <w:szCs w:val="20"/>
          <w:highlight w:val="none"/>
        </w:rPr>
        <w:t>上海海事大学研究生招生领导小组及学业奖学金评审领导小组根据当年招生情况以及学科建设情况，分配相应名额给交通运输学院。交通运输学院奖助学金评审小组根据不同专业、不同学位类别（专业型和学术型）研究生人数，按照比例分配名额如下：</w:t>
      </w:r>
    </w:p>
    <w:p w14:paraId="21B289A6">
      <w:pPr>
        <w:widowControl/>
        <w:spacing w:line="300" w:lineRule="auto"/>
        <w:jc w:val="left"/>
        <w:rPr>
          <w:rFonts w:hint="eastAsia" w:asciiTheme="minorEastAsia" w:hAnsiTheme="minorEastAsia" w:eastAsiaTheme="minorEastAsia" w:cstheme="minorEastAsia"/>
          <w:b/>
          <w:kern w:val="0"/>
          <w:sz w:val="20"/>
          <w:szCs w:val="20"/>
          <w:highlight w:val="none"/>
        </w:rPr>
      </w:pPr>
      <w:r>
        <w:rPr>
          <w:rFonts w:hint="eastAsia" w:asciiTheme="minorEastAsia" w:hAnsiTheme="minorEastAsia" w:eastAsiaTheme="minorEastAsia" w:cstheme="minorEastAsia"/>
          <w:b/>
          <w:kern w:val="0"/>
          <w:sz w:val="20"/>
          <w:szCs w:val="20"/>
          <w:highlight w:val="none"/>
        </w:rPr>
        <w:t>1.硕士一年级研究生奖学金</w:t>
      </w:r>
    </w:p>
    <w:p w14:paraId="708640BC">
      <w:pPr>
        <w:widowControl/>
        <w:spacing w:line="300" w:lineRule="auto"/>
        <w:jc w:val="left"/>
        <w:rPr>
          <w:rFonts w:hint="eastAsia" w:asciiTheme="minorEastAsia" w:hAnsiTheme="minorEastAsia" w:eastAsiaTheme="minorEastAsia" w:cstheme="minorEastAsia"/>
          <w:b w:val="0"/>
          <w:bCs/>
          <w:kern w:val="0"/>
          <w:sz w:val="20"/>
          <w:szCs w:val="20"/>
          <w:highlight w:val="none"/>
        </w:rPr>
      </w:pPr>
      <w:r>
        <w:rPr>
          <w:rFonts w:hint="eastAsia" w:asciiTheme="minorEastAsia" w:hAnsiTheme="minorEastAsia" w:eastAsiaTheme="minorEastAsia" w:cstheme="minorEastAsia"/>
          <w:b w:val="0"/>
          <w:bCs/>
          <w:kern w:val="0"/>
          <w:sz w:val="20"/>
          <w:szCs w:val="20"/>
          <w:highlight w:val="none"/>
        </w:rPr>
        <w:t>本院202</w:t>
      </w:r>
      <w:r>
        <w:rPr>
          <w:rFonts w:hint="eastAsia" w:asciiTheme="minorEastAsia" w:hAnsiTheme="minorEastAsia" w:cstheme="minorEastAsia"/>
          <w:b w:val="0"/>
          <w:bCs/>
          <w:kern w:val="0"/>
          <w:sz w:val="20"/>
          <w:szCs w:val="20"/>
          <w:highlight w:val="none"/>
          <w:lang w:val="en-US" w:eastAsia="zh-CN"/>
        </w:rPr>
        <w:t>6</w:t>
      </w:r>
      <w:r>
        <w:rPr>
          <w:rFonts w:hint="eastAsia" w:asciiTheme="minorEastAsia" w:hAnsiTheme="minorEastAsia" w:eastAsiaTheme="minorEastAsia" w:cstheme="minorEastAsia"/>
          <w:b w:val="0"/>
          <w:bCs/>
          <w:kern w:val="0"/>
          <w:sz w:val="20"/>
          <w:szCs w:val="20"/>
          <w:highlight w:val="none"/>
        </w:rPr>
        <w:t>级硕士新生（中国籍、非定向）共有</w:t>
      </w:r>
      <w:r>
        <w:rPr>
          <w:rFonts w:hint="eastAsia" w:asciiTheme="minorEastAsia" w:hAnsiTheme="minorEastAsia" w:cstheme="minorEastAsia"/>
          <w:b w:val="0"/>
          <w:bCs/>
          <w:kern w:val="0"/>
          <w:sz w:val="20"/>
          <w:szCs w:val="20"/>
          <w:highlight w:val="none"/>
          <w:lang w:val="en-US" w:eastAsia="zh-CN"/>
        </w:rPr>
        <w:t>231</w:t>
      </w:r>
      <w:r>
        <w:rPr>
          <w:rFonts w:hint="eastAsia" w:asciiTheme="minorEastAsia" w:hAnsiTheme="minorEastAsia" w:eastAsiaTheme="minorEastAsia" w:cstheme="minorEastAsia"/>
          <w:b w:val="0"/>
          <w:bCs/>
          <w:kern w:val="0"/>
          <w:sz w:val="20"/>
          <w:szCs w:val="20"/>
          <w:highlight w:val="none"/>
        </w:rPr>
        <w:t>人，其中交通运输规划与管理专业74人（含</w:t>
      </w:r>
      <w:r>
        <w:rPr>
          <w:rFonts w:hint="eastAsia" w:asciiTheme="minorEastAsia" w:hAnsiTheme="minorEastAsia" w:cstheme="minorEastAsia"/>
          <w:b w:val="0"/>
          <w:bCs/>
          <w:kern w:val="0"/>
          <w:sz w:val="20"/>
          <w:szCs w:val="20"/>
          <w:highlight w:val="none"/>
          <w:lang w:val="en-US" w:eastAsia="zh-CN"/>
        </w:rPr>
        <w:t>5</w:t>
      </w:r>
      <w:r>
        <w:rPr>
          <w:rFonts w:hint="eastAsia" w:asciiTheme="minorEastAsia" w:hAnsiTheme="minorEastAsia" w:eastAsiaTheme="minorEastAsia" w:cstheme="minorEastAsia"/>
          <w:b w:val="0"/>
          <w:bCs/>
          <w:kern w:val="0"/>
          <w:sz w:val="20"/>
          <w:szCs w:val="20"/>
          <w:highlight w:val="none"/>
        </w:rPr>
        <w:t>名推免生）</w:t>
      </w:r>
      <w:r>
        <w:rPr>
          <w:rFonts w:hint="eastAsia" w:asciiTheme="minorEastAsia" w:hAnsiTheme="minorEastAsia" w:cstheme="minorEastAsia"/>
          <w:b w:val="0"/>
          <w:bCs/>
          <w:kern w:val="0"/>
          <w:sz w:val="20"/>
          <w:szCs w:val="20"/>
          <w:highlight w:val="none"/>
          <w:lang w:eastAsia="zh-CN"/>
        </w:rPr>
        <w:t>，</w:t>
      </w:r>
      <w:r>
        <w:rPr>
          <w:rFonts w:hint="eastAsia" w:asciiTheme="minorEastAsia" w:hAnsiTheme="minorEastAsia" w:eastAsiaTheme="minorEastAsia" w:cstheme="minorEastAsia"/>
          <w:b w:val="0"/>
          <w:bCs/>
          <w:kern w:val="0"/>
          <w:sz w:val="20"/>
          <w:szCs w:val="20"/>
          <w:highlight w:val="none"/>
        </w:rPr>
        <w:t>交通运输专业15</w:t>
      </w:r>
      <w:r>
        <w:rPr>
          <w:rFonts w:hint="eastAsia" w:asciiTheme="minorEastAsia" w:hAnsiTheme="minorEastAsia" w:cstheme="minorEastAsia"/>
          <w:b w:val="0"/>
          <w:bCs/>
          <w:kern w:val="0"/>
          <w:sz w:val="20"/>
          <w:szCs w:val="20"/>
          <w:highlight w:val="none"/>
          <w:lang w:val="en-US" w:eastAsia="zh-CN"/>
        </w:rPr>
        <w:t>7</w:t>
      </w:r>
      <w:r>
        <w:rPr>
          <w:rFonts w:hint="eastAsia" w:asciiTheme="minorEastAsia" w:hAnsiTheme="minorEastAsia" w:eastAsiaTheme="minorEastAsia" w:cstheme="minorEastAsia"/>
          <w:b w:val="0"/>
          <w:bCs/>
          <w:kern w:val="0"/>
          <w:sz w:val="20"/>
          <w:szCs w:val="20"/>
          <w:highlight w:val="none"/>
        </w:rPr>
        <w:t>人（含</w:t>
      </w:r>
      <w:r>
        <w:rPr>
          <w:rFonts w:hint="eastAsia" w:asciiTheme="minorEastAsia" w:hAnsiTheme="minorEastAsia" w:cstheme="minorEastAsia"/>
          <w:b w:val="0"/>
          <w:bCs/>
          <w:kern w:val="0"/>
          <w:sz w:val="20"/>
          <w:szCs w:val="20"/>
          <w:highlight w:val="none"/>
          <w:lang w:val="en-US" w:eastAsia="zh-CN"/>
        </w:rPr>
        <w:t>7</w:t>
      </w:r>
      <w:r>
        <w:rPr>
          <w:rFonts w:hint="eastAsia" w:asciiTheme="minorEastAsia" w:hAnsiTheme="minorEastAsia" w:eastAsiaTheme="minorEastAsia" w:cstheme="minorEastAsia"/>
          <w:b w:val="0"/>
          <w:bCs/>
          <w:kern w:val="0"/>
          <w:sz w:val="20"/>
          <w:szCs w:val="20"/>
          <w:highlight w:val="none"/>
        </w:rPr>
        <w:t>名推免生）。根据研究生部所给比例</w:t>
      </w:r>
      <w:r>
        <w:rPr>
          <w:rFonts w:hint="eastAsia" w:asciiTheme="minorEastAsia" w:hAnsiTheme="minorEastAsia" w:cstheme="minorEastAsia"/>
          <w:b w:val="0"/>
          <w:bCs/>
          <w:kern w:val="0"/>
          <w:sz w:val="20"/>
          <w:szCs w:val="20"/>
          <w:highlight w:val="none"/>
          <w:lang w:eastAsia="zh-CN"/>
        </w:rPr>
        <w:t>，</w:t>
      </w:r>
      <w:r>
        <w:rPr>
          <w:rFonts w:hint="eastAsia" w:asciiTheme="minorEastAsia" w:hAnsiTheme="minorEastAsia" w:eastAsiaTheme="minorEastAsia" w:cstheme="minorEastAsia"/>
          <w:b w:val="0"/>
          <w:bCs/>
          <w:kern w:val="0"/>
          <w:sz w:val="20"/>
          <w:szCs w:val="20"/>
          <w:highlight w:val="none"/>
        </w:rPr>
        <w:t>奖励标准与名额分配如下：</w:t>
      </w:r>
    </w:p>
    <w:p w14:paraId="26CCE9E9">
      <w:pPr>
        <w:widowControl/>
        <w:spacing w:line="300" w:lineRule="auto"/>
        <w:jc w:val="left"/>
        <w:rPr>
          <w:rFonts w:hint="eastAsia" w:asciiTheme="minorEastAsia" w:hAnsiTheme="minorEastAsia" w:eastAsiaTheme="minorEastAsia" w:cstheme="minorEastAsia"/>
          <w:b w:val="0"/>
          <w:bCs/>
          <w:kern w:val="0"/>
          <w:sz w:val="20"/>
          <w:szCs w:val="20"/>
          <w:highlight w:val="none"/>
        </w:rPr>
      </w:pPr>
      <w:r>
        <w:rPr>
          <w:rFonts w:hint="eastAsia" w:asciiTheme="minorEastAsia" w:hAnsiTheme="minorEastAsia" w:eastAsiaTheme="minorEastAsia" w:cstheme="minorEastAsia"/>
          <w:b w:val="0"/>
          <w:bCs/>
          <w:kern w:val="0"/>
          <w:sz w:val="20"/>
          <w:szCs w:val="20"/>
          <w:highlight w:val="none"/>
        </w:rPr>
        <w:t>（1）一等奖学金：5000元</w:t>
      </w:r>
    </w:p>
    <w:p w14:paraId="6B6033B3">
      <w:pPr>
        <w:widowControl/>
        <w:spacing w:line="300" w:lineRule="auto"/>
        <w:jc w:val="left"/>
        <w:rPr>
          <w:rFonts w:hint="eastAsia" w:asciiTheme="minorEastAsia" w:hAnsiTheme="minorEastAsia" w:eastAsiaTheme="minorEastAsia" w:cstheme="minorEastAsia"/>
          <w:b w:val="0"/>
          <w:bCs/>
          <w:kern w:val="0"/>
          <w:sz w:val="20"/>
          <w:szCs w:val="20"/>
          <w:highlight w:val="none"/>
        </w:rPr>
      </w:pPr>
      <w:r>
        <w:rPr>
          <w:rFonts w:hint="eastAsia" w:asciiTheme="minorEastAsia" w:hAnsiTheme="minorEastAsia" w:eastAsiaTheme="minorEastAsia" w:cstheme="minorEastAsia"/>
          <w:b w:val="0"/>
          <w:bCs/>
          <w:kern w:val="0"/>
          <w:sz w:val="20"/>
          <w:szCs w:val="20"/>
          <w:highlight w:val="none"/>
        </w:rPr>
        <w:t>名额：交通运输规划与管理专业共</w:t>
      </w:r>
      <w:r>
        <w:rPr>
          <w:rFonts w:hint="eastAsia" w:asciiTheme="minorEastAsia" w:hAnsiTheme="minorEastAsia" w:cstheme="minorEastAsia"/>
          <w:b w:val="0"/>
          <w:bCs/>
          <w:kern w:val="0"/>
          <w:sz w:val="20"/>
          <w:szCs w:val="20"/>
          <w:highlight w:val="none"/>
          <w:lang w:val="en-US" w:eastAsia="zh-CN"/>
        </w:rPr>
        <w:t>30</w:t>
      </w:r>
      <w:r>
        <w:rPr>
          <w:rFonts w:hint="eastAsia" w:asciiTheme="minorEastAsia" w:hAnsiTheme="minorEastAsia" w:eastAsiaTheme="minorEastAsia" w:cstheme="minorEastAsia"/>
          <w:b w:val="0"/>
          <w:bCs/>
          <w:kern w:val="0"/>
          <w:sz w:val="20"/>
          <w:szCs w:val="20"/>
          <w:highlight w:val="none"/>
        </w:rPr>
        <w:t>人，其中推免生</w:t>
      </w:r>
      <w:r>
        <w:rPr>
          <w:rFonts w:hint="eastAsia" w:asciiTheme="minorEastAsia" w:hAnsiTheme="minorEastAsia" w:cstheme="minorEastAsia"/>
          <w:b w:val="0"/>
          <w:bCs/>
          <w:kern w:val="0"/>
          <w:sz w:val="20"/>
          <w:szCs w:val="20"/>
          <w:highlight w:val="none"/>
          <w:lang w:val="en-US" w:eastAsia="zh-CN"/>
        </w:rPr>
        <w:t>4</w:t>
      </w:r>
      <w:r>
        <w:rPr>
          <w:rFonts w:hint="eastAsia" w:asciiTheme="minorEastAsia" w:hAnsiTheme="minorEastAsia" w:eastAsiaTheme="minorEastAsia" w:cstheme="minorEastAsia"/>
          <w:b w:val="0"/>
          <w:bCs/>
          <w:kern w:val="0"/>
          <w:sz w:val="20"/>
          <w:szCs w:val="20"/>
          <w:highlight w:val="none"/>
        </w:rPr>
        <w:t>人；交通运输专业</w:t>
      </w:r>
      <w:r>
        <w:rPr>
          <w:rFonts w:hint="eastAsia" w:asciiTheme="minorEastAsia" w:hAnsiTheme="minorEastAsia" w:cstheme="minorEastAsia"/>
          <w:b w:val="0"/>
          <w:bCs/>
          <w:kern w:val="0"/>
          <w:sz w:val="20"/>
          <w:szCs w:val="20"/>
          <w:highlight w:val="none"/>
          <w:lang w:val="en-US" w:eastAsia="zh-CN"/>
        </w:rPr>
        <w:t>63</w:t>
      </w:r>
      <w:r>
        <w:rPr>
          <w:rFonts w:hint="eastAsia" w:asciiTheme="minorEastAsia" w:hAnsiTheme="minorEastAsia" w:eastAsiaTheme="minorEastAsia" w:cstheme="minorEastAsia"/>
          <w:b w:val="0"/>
          <w:bCs/>
          <w:kern w:val="0"/>
          <w:sz w:val="20"/>
          <w:szCs w:val="20"/>
          <w:highlight w:val="none"/>
        </w:rPr>
        <w:t>人，其中推免生</w:t>
      </w:r>
      <w:r>
        <w:rPr>
          <w:rFonts w:hint="eastAsia" w:asciiTheme="minorEastAsia" w:hAnsiTheme="minorEastAsia" w:cstheme="minorEastAsia"/>
          <w:b w:val="0"/>
          <w:bCs/>
          <w:kern w:val="0"/>
          <w:sz w:val="20"/>
          <w:szCs w:val="20"/>
          <w:highlight w:val="none"/>
          <w:lang w:val="en-US" w:eastAsia="zh-CN"/>
        </w:rPr>
        <w:t>3</w:t>
      </w:r>
      <w:r>
        <w:rPr>
          <w:rFonts w:hint="eastAsia" w:asciiTheme="minorEastAsia" w:hAnsiTheme="minorEastAsia" w:eastAsiaTheme="minorEastAsia" w:cstheme="minorEastAsia"/>
          <w:b w:val="0"/>
          <w:bCs/>
          <w:kern w:val="0"/>
          <w:sz w:val="20"/>
          <w:szCs w:val="20"/>
          <w:highlight w:val="none"/>
        </w:rPr>
        <w:t>人，共计</w:t>
      </w:r>
      <w:r>
        <w:rPr>
          <w:rFonts w:hint="eastAsia" w:asciiTheme="minorEastAsia" w:hAnsiTheme="minorEastAsia" w:cstheme="minorEastAsia"/>
          <w:b w:val="0"/>
          <w:bCs/>
          <w:kern w:val="0"/>
          <w:sz w:val="20"/>
          <w:szCs w:val="20"/>
          <w:highlight w:val="none"/>
          <w:lang w:val="en-US" w:eastAsia="zh-CN"/>
        </w:rPr>
        <w:t>103</w:t>
      </w:r>
      <w:r>
        <w:rPr>
          <w:rFonts w:hint="eastAsia" w:asciiTheme="minorEastAsia" w:hAnsiTheme="minorEastAsia" w:eastAsiaTheme="minorEastAsia" w:cstheme="minorEastAsia"/>
          <w:b w:val="0"/>
          <w:bCs/>
          <w:kern w:val="0"/>
          <w:sz w:val="20"/>
          <w:szCs w:val="20"/>
          <w:highlight w:val="none"/>
        </w:rPr>
        <w:t>人</w:t>
      </w:r>
    </w:p>
    <w:p w14:paraId="3CC83B1B">
      <w:pPr>
        <w:widowControl/>
        <w:spacing w:line="300" w:lineRule="auto"/>
        <w:jc w:val="left"/>
        <w:rPr>
          <w:rFonts w:hint="eastAsia" w:asciiTheme="minorEastAsia" w:hAnsiTheme="minorEastAsia" w:eastAsiaTheme="minorEastAsia" w:cstheme="minorEastAsia"/>
          <w:b w:val="0"/>
          <w:bCs/>
          <w:kern w:val="0"/>
          <w:sz w:val="20"/>
          <w:szCs w:val="20"/>
          <w:highlight w:val="none"/>
        </w:rPr>
      </w:pPr>
      <w:r>
        <w:rPr>
          <w:rFonts w:hint="eastAsia" w:asciiTheme="minorEastAsia" w:hAnsiTheme="minorEastAsia" w:eastAsiaTheme="minorEastAsia" w:cstheme="minorEastAsia"/>
          <w:b w:val="0"/>
          <w:bCs/>
          <w:kern w:val="0"/>
          <w:sz w:val="20"/>
          <w:szCs w:val="20"/>
          <w:highlight w:val="none"/>
        </w:rPr>
        <w:t>（2）二等奖学金</w:t>
      </w:r>
      <w:r>
        <w:rPr>
          <w:rFonts w:hint="eastAsia" w:asciiTheme="minorEastAsia" w:hAnsiTheme="minorEastAsia" w:cstheme="minorEastAsia"/>
          <w:b w:val="0"/>
          <w:bCs/>
          <w:kern w:val="0"/>
          <w:sz w:val="20"/>
          <w:szCs w:val="20"/>
          <w:highlight w:val="none"/>
          <w:lang w:eastAsia="zh-CN"/>
        </w:rPr>
        <w:t>：</w:t>
      </w:r>
      <w:r>
        <w:rPr>
          <w:rFonts w:hint="eastAsia" w:asciiTheme="minorEastAsia" w:hAnsiTheme="minorEastAsia" w:eastAsiaTheme="minorEastAsia" w:cstheme="minorEastAsia"/>
          <w:b w:val="0"/>
          <w:bCs/>
          <w:kern w:val="0"/>
          <w:sz w:val="20"/>
          <w:szCs w:val="20"/>
          <w:highlight w:val="none"/>
        </w:rPr>
        <w:t>3000元</w:t>
      </w:r>
    </w:p>
    <w:p w14:paraId="2D20B08A">
      <w:pPr>
        <w:widowControl/>
        <w:spacing w:line="300" w:lineRule="auto"/>
        <w:jc w:val="left"/>
        <w:rPr>
          <w:rFonts w:hint="eastAsia" w:asciiTheme="minorEastAsia" w:hAnsiTheme="minorEastAsia" w:eastAsiaTheme="minorEastAsia" w:cstheme="minorEastAsia"/>
          <w:b w:val="0"/>
          <w:bCs/>
          <w:kern w:val="0"/>
          <w:sz w:val="20"/>
          <w:szCs w:val="20"/>
          <w:highlight w:val="none"/>
        </w:rPr>
      </w:pPr>
      <w:r>
        <w:rPr>
          <w:rFonts w:hint="eastAsia" w:asciiTheme="minorEastAsia" w:hAnsiTheme="minorEastAsia" w:eastAsiaTheme="minorEastAsia" w:cstheme="minorEastAsia"/>
          <w:b w:val="0"/>
          <w:bCs/>
          <w:kern w:val="0"/>
          <w:sz w:val="20"/>
          <w:szCs w:val="20"/>
          <w:highlight w:val="none"/>
        </w:rPr>
        <w:t>名额：交通运输规划与管理专业</w:t>
      </w:r>
      <w:r>
        <w:rPr>
          <w:rFonts w:hint="eastAsia" w:asciiTheme="minorEastAsia" w:hAnsiTheme="minorEastAsia" w:cstheme="minorEastAsia"/>
          <w:b w:val="0"/>
          <w:bCs/>
          <w:kern w:val="0"/>
          <w:sz w:val="20"/>
          <w:szCs w:val="20"/>
          <w:highlight w:val="none"/>
          <w:lang w:val="en-US" w:eastAsia="zh-CN"/>
        </w:rPr>
        <w:t>30</w:t>
      </w:r>
      <w:r>
        <w:rPr>
          <w:rFonts w:hint="eastAsia" w:asciiTheme="minorEastAsia" w:hAnsiTheme="minorEastAsia" w:eastAsiaTheme="minorEastAsia" w:cstheme="minorEastAsia"/>
          <w:b w:val="0"/>
          <w:bCs/>
          <w:kern w:val="0"/>
          <w:sz w:val="20"/>
          <w:szCs w:val="20"/>
          <w:highlight w:val="none"/>
        </w:rPr>
        <w:t>人；交通运输专业</w:t>
      </w:r>
      <w:r>
        <w:rPr>
          <w:rFonts w:hint="eastAsia" w:asciiTheme="minorEastAsia" w:hAnsiTheme="minorEastAsia" w:cstheme="minorEastAsia"/>
          <w:b w:val="0"/>
          <w:bCs/>
          <w:kern w:val="0"/>
          <w:sz w:val="20"/>
          <w:szCs w:val="20"/>
          <w:highlight w:val="none"/>
          <w:lang w:val="en-US" w:eastAsia="zh-CN"/>
        </w:rPr>
        <w:t>63</w:t>
      </w:r>
      <w:r>
        <w:rPr>
          <w:rFonts w:hint="eastAsia" w:asciiTheme="minorEastAsia" w:hAnsiTheme="minorEastAsia" w:eastAsiaTheme="minorEastAsia" w:cstheme="minorEastAsia"/>
          <w:b w:val="0"/>
          <w:bCs/>
          <w:kern w:val="0"/>
          <w:sz w:val="20"/>
          <w:szCs w:val="20"/>
          <w:highlight w:val="none"/>
        </w:rPr>
        <w:t>人，共计</w:t>
      </w:r>
      <w:r>
        <w:rPr>
          <w:rFonts w:hint="eastAsia" w:asciiTheme="minorEastAsia" w:hAnsiTheme="minorEastAsia" w:cstheme="minorEastAsia"/>
          <w:b w:val="0"/>
          <w:bCs/>
          <w:kern w:val="0"/>
          <w:sz w:val="20"/>
          <w:szCs w:val="20"/>
          <w:highlight w:val="none"/>
          <w:lang w:val="en-US" w:eastAsia="zh-CN"/>
        </w:rPr>
        <w:t>103</w:t>
      </w:r>
      <w:r>
        <w:rPr>
          <w:rFonts w:hint="eastAsia" w:asciiTheme="minorEastAsia" w:hAnsiTheme="minorEastAsia" w:eastAsiaTheme="minorEastAsia" w:cstheme="minorEastAsia"/>
          <w:b w:val="0"/>
          <w:bCs/>
          <w:kern w:val="0"/>
          <w:sz w:val="20"/>
          <w:szCs w:val="20"/>
          <w:highlight w:val="none"/>
        </w:rPr>
        <w:t>人</w:t>
      </w:r>
    </w:p>
    <w:p w14:paraId="37477614">
      <w:pPr>
        <w:widowControl/>
        <w:spacing w:line="300" w:lineRule="auto"/>
        <w:jc w:val="left"/>
        <w:rPr>
          <w:rFonts w:hint="eastAsia" w:asciiTheme="minorEastAsia" w:hAnsiTheme="minorEastAsia" w:eastAsiaTheme="minorEastAsia" w:cstheme="minorEastAsia"/>
          <w:b/>
          <w:kern w:val="0"/>
          <w:sz w:val="20"/>
          <w:szCs w:val="20"/>
          <w:highlight w:val="none"/>
        </w:rPr>
      </w:pPr>
      <w:r>
        <w:rPr>
          <w:rFonts w:hint="eastAsia" w:asciiTheme="minorEastAsia" w:hAnsiTheme="minorEastAsia" w:eastAsiaTheme="minorEastAsia" w:cstheme="minorEastAsia"/>
          <w:b/>
          <w:kern w:val="0"/>
          <w:sz w:val="20"/>
          <w:szCs w:val="20"/>
          <w:highlight w:val="none"/>
        </w:rPr>
        <w:t>2.硕士研究生学业综合奖学金</w:t>
      </w:r>
    </w:p>
    <w:p w14:paraId="6F88BA19">
      <w:pPr>
        <w:widowControl/>
        <w:spacing w:line="300" w:lineRule="auto"/>
        <w:jc w:val="left"/>
        <w:rPr>
          <w:rFonts w:hint="eastAsia" w:asciiTheme="minorEastAsia" w:hAnsiTheme="minorEastAsia" w:eastAsiaTheme="minorEastAsia" w:cstheme="minorEastAsia"/>
          <w:b w:val="0"/>
          <w:bCs/>
          <w:kern w:val="0"/>
          <w:sz w:val="20"/>
          <w:szCs w:val="20"/>
          <w:highlight w:val="none"/>
        </w:rPr>
      </w:pPr>
      <w:r>
        <w:rPr>
          <w:rFonts w:hint="eastAsia" w:asciiTheme="minorEastAsia" w:hAnsiTheme="minorEastAsia" w:eastAsiaTheme="minorEastAsia" w:cstheme="minorEastAsia"/>
          <w:b w:val="0"/>
          <w:bCs/>
          <w:kern w:val="0"/>
          <w:sz w:val="20"/>
          <w:szCs w:val="20"/>
          <w:highlight w:val="none"/>
        </w:rPr>
        <w:t>本院202</w:t>
      </w:r>
      <w:r>
        <w:rPr>
          <w:rFonts w:hint="eastAsia" w:asciiTheme="minorEastAsia" w:hAnsiTheme="minorEastAsia" w:cstheme="minorEastAsia"/>
          <w:b w:val="0"/>
          <w:bCs/>
          <w:kern w:val="0"/>
          <w:sz w:val="20"/>
          <w:szCs w:val="20"/>
          <w:highlight w:val="none"/>
          <w:lang w:val="en-US" w:eastAsia="zh-CN"/>
        </w:rPr>
        <w:t>4</w:t>
      </w:r>
      <w:r>
        <w:rPr>
          <w:rFonts w:hint="eastAsia" w:asciiTheme="minorEastAsia" w:hAnsiTheme="minorEastAsia" w:eastAsiaTheme="minorEastAsia" w:cstheme="minorEastAsia"/>
          <w:b w:val="0"/>
          <w:bCs/>
          <w:kern w:val="0"/>
          <w:sz w:val="20"/>
          <w:szCs w:val="20"/>
          <w:highlight w:val="none"/>
        </w:rPr>
        <w:t>级硕士（中国籍、非定向）共有</w:t>
      </w:r>
      <w:r>
        <w:rPr>
          <w:rFonts w:hint="eastAsia" w:asciiTheme="minorEastAsia" w:hAnsiTheme="minorEastAsia" w:cstheme="minorEastAsia"/>
          <w:b w:val="0"/>
          <w:bCs/>
          <w:kern w:val="0"/>
          <w:sz w:val="20"/>
          <w:szCs w:val="20"/>
          <w:highlight w:val="none"/>
          <w:lang w:val="en-US" w:eastAsia="zh-CN"/>
        </w:rPr>
        <w:t>71</w:t>
      </w:r>
      <w:r>
        <w:rPr>
          <w:rFonts w:hint="eastAsia" w:asciiTheme="minorEastAsia" w:hAnsiTheme="minorEastAsia" w:eastAsiaTheme="minorEastAsia" w:cstheme="minorEastAsia"/>
          <w:b w:val="0"/>
          <w:bCs/>
          <w:kern w:val="0"/>
          <w:sz w:val="20"/>
          <w:szCs w:val="20"/>
          <w:highlight w:val="none"/>
        </w:rPr>
        <w:t>人，全部是交通运输规划与管理专业学生。根据研究生部所给比例，奖励标准与名额分配如下：</w:t>
      </w:r>
    </w:p>
    <w:p w14:paraId="18D29BED">
      <w:pPr>
        <w:widowControl/>
        <w:spacing w:line="300" w:lineRule="auto"/>
        <w:jc w:val="left"/>
        <w:rPr>
          <w:rFonts w:hint="eastAsia" w:asciiTheme="minorEastAsia" w:hAnsiTheme="minorEastAsia" w:eastAsiaTheme="minorEastAsia" w:cstheme="minorEastAsia"/>
          <w:b w:val="0"/>
          <w:bCs/>
          <w:kern w:val="0"/>
          <w:sz w:val="20"/>
          <w:szCs w:val="20"/>
          <w:highlight w:val="none"/>
        </w:rPr>
      </w:pPr>
      <w:r>
        <w:rPr>
          <w:rFonts w:hint="eastAsia" w:asciiTheme="minorEastAsia" w:hAnsiTheme="minorEastAsia" w:eastAsiaTheme="minorEastAsia" w:cstheme="minorEastAsia"/>
          <w:b w:val="0"/>
          <w:bCs/>
          <w:kern w:val="0"/>
          <w:sz w:val="20"/>
          <w:szCs w:val="20"/>
          <w:highlight w:val="none"/>
        </w:rPr>
        <w:t>（1）一等奖学金：12000元</w:t>
      </w:r>
    </w:p>
    <w:p w14:paraId="5D2CBE90">
      <w:pPr>
        <w:widowControl/>
        <w:spacing w:line="300" w:lineRule="auto"/>
        <w:jc w:val="left"/>
        <w:rPr>
          <w:rFonts w:hint="eastAsia" w:asciiTheme="minorEastAsia" w:hAnsiTheme="minorEastAsia" w:eastAsiaTheme="minorEastAsia" w:cstheme="minorEastAsia"/>
          <w:b w:val="0"/>
          <w:bCs/>
          <w:kern w:val="0"/>
          <w:sz w:val="20"/>
          <w:szCs w:val="20"/>
          <w:highlight w:val="none"/>
        </w:rPr>
      </w:pPr>
      <w:r>
        <w:rPr>
          <w:rFonts w:hint="eastAsia" w:asciiTheme="minorEastAsia" w:hAnsiTheme="minorEastAsia" w:eastAsiaTheme="minorEastAsia" w:cstheme="minorEastAsia"/>
          <w:b w:val="0"/>
          <w:bCs/>
          <w:kern w:val="0"/>
          <w:sz w:val="20"/>
          <w:szCs w:val="20"/>
          <w:highlight w:val="none"/>
        </w:rPr>
        <w:t>名额：交通运输规划与管理专业</w:t>
      </w:r>
      <w:r>
        <w:rPr>
          <w:rFonts w:hint="eastAsia" w:asciiTheme="minorEastAsia" w:hAnsiTheme="minorEastAsia" w:cstheme="minorEastAsia"/>
          <w:b w:val="0"/>
          <w:bCs/>
          <w:kern w:val="0"/>
          <w:sz w:val="20"/>
          <w:szCs w:val="20"/>
          <w:highlight w:val="none"/>
          <w:lang w:val="en-US" w:eastAsia="zh-CN"/>
        </w:rPr>
        <w:t>3</w:t>
      </w:r>
      <w:r>
        <w:rPr>
          <w:rFonts w:hint="eastAsia" w:asciiTheme="minorEastAsia" w:hAnsiTheme="minorEastAsia" w:eastAsiaTheme="minorEastAsia" w:cstheme="minorEastAsia"/>
          <w:b w:val="0"/>
          <w:bCs/>
          <w:kern w:val="0"/>
          <w:sz w:val="20"/>
          <w:szCs w:val="20"/>
          <w:highlight w:val="none"/>
        </w:rPr>
        <w:t>人</w:t>
      </w:r>
    </w:p>
    <w:p w14:paraId="3A158E6A">
      <w:pPr>
        <w:widowControl/>
        <w:spacing w:line="300" w:lineRule="auto"/>
        <w:jc w:val="left"/>
        <w:rPr>
          <w:rFonts w:hint="eastAsia" w:asciiTheme="minorEastAsia" w:hAnsiTheme="minorEastAsia" w:eastAsiaTheme="minorEastAsia" w:cstheme="minorEastAsia"/>
          <w:b w:val="0"/>
          <w:bCs/>
          <w:kern w:val="0"/>
          <w:sz w:val="20"/>
          <w:szCs w:val="20"/>
          <w:highlight w:val="none"/>
        </w:rPr>
      </w:pPr>
      <w:r>
        <w:rPr>
          <w:rFonts w:hint="eastAsia" w:asciiTheme="minorEastAsia" w:hAnsiTheme="minorEastAsia" w:eastAsiaTheme="minorEastAsia" w:cstheme="minorEastAsia"/>
          <w:b w:val="0"/>
          <w:bCs/>
          <w:kern w:val="0"/>
          <w:sz w:val="20"/>
          <w:szCs w:val="20"/>
          <w:highlight w:val="none"/>
        </w:rPr>
        <w:t>（2）二等奖学金：6000元</w:t>
      </w:r>
    </w:p>
    <w:p w14:paraId="50EAE4B1">
      <w:pPr>
        <w:widowControl/>
        <w:spacing w:line="300" w:lineRule="auto"/>
        <w:jc w:val="left"/>
        <w:rPr>
          <w:rFonts w:hint="eastAsia" w:asciiTheme="minorEastAsia" w:hAnsiTheme="minorEastAsia" w:eastAsiaTheme="minorEastAsia" w:cstheme="minorEastAsia"/>
          <w:b w:val="0"/>
          <w:bCs/>
          <w:kern w:val="0"/>
          <w:sz w:val="20"/>
          <w:szCs w:val="20"/>
          <w:highlight w:val="none"/>
        </w:rPr>
      </w:pPr>
      <w:r>
        <w:rPr>
          <w:rFonts w:hint="eastAsia" w:asciiTheme="minorEastAsia" w:hAnsiTheme="minorEastAsia" w:eastAsiaTheme="minorEastAsia" w:cstheme="minorEastAsia"/>
          <w:b w:val="0"/>
          <w:bCs/>
          <w:kern w:val="0"/>
          <w:sz w:val="20"/>
          <w:szCs w:val="20"/>
          <w:highlight w:val="none"/>
        </w:rPr>
        <w:t>名额：交通运输规划与管理专业</w:t>
      </w:r>
      <w:r>
        <w:rPr>
          <w:rFonts w:hint="eastAsia" w:asciiTheme="minorEastAsia" w:hAnsiTheme="minorEastAsia" w:cstheme="minorEastAsia"/>
          <w:b w:val="0"/>
          <w:bCs/>
          <w:kern w:val="0"/>
          <w:sz w:val="20"/>
          <w:szCs w:val="20"/>
          <w:highlight w:val="none"/>
          <w:lang w:val="en-US" w:eastAsia="zh-CN"/>
        </w:rPr>
        <w:t>21</w:t>
      </w:r>
      <w:r>
        <w:rPr>
          <w:rFonts w:hint="eastAsia" w:asciiTheme="minorEastAsia" w:hAnsiTheme="minorEastAsia" w:eastAsiaTheme="minorEastAsia" w:cstheme="minorEastAsia"/>
          <w:b w:val="0"/>
          <w:bCs/>
          <w:kern w:val="0"/>
          <w:sz w:val="20"/>
          <w:szCs w:val="20"/>
          <w:highlight w:val="none"/>
        </w:rPr>
        <w:t>人</w:t>
      </w:r>
    </w:p>
    <w:p w14:paraId="53733BA8">
      <w:pPr>
        <w:widowControl/>
        <w:spacing w:line="300" w:lineRule="auto"/>
        <w:jc w:val="left"/>
        <w:rPr>
          <w:rFonts w:hint="eastAsia" w:asciiTheme="minorEastAsia" w:hAnsiTheme="minorEastAsia" w:eastAsiaTheme="minorEastAsia" w:cstheme="minorEastAsia"/>
          <w:b w:val="0"/>
          <w:bCs/>
          <w:kern w:val="0"/>
          <w:sz w:val="20"/>
          <w:szCs w:val="20"/>
          <w:highlight w:val="none"/>
        </w:rPr>
      </w:pPr>
      <w:r>
        <w:rPr>
          <w:rFonts w:hint="eastAsia" w:asciiTheme="minorEastAsia" w:hAnsiTheme="minorEastAsia" w:eastAsiaTheme="minorEastAsia" w:cstheme="minorEastAsia"/>
          <w:b w:val="0"/>
          <w:bCs/>
          <w:kern w:val="0"/>
          <w:sz w:val="20"/>
          <w:szCs w:val="20"/>
          <w:highlight w:val="none"/>
        </w:rPr>
        <w:t>（3）三等奖学金：3000元</w:t>
      </w:r>
    </w:p>
    <w:p w14:paraId="18415C42">
      <w:pPr>
        <w:widowControl/>
        <w:spacing w:line="300" w:lineRule="auto"/>
        <w:jc w:val="left"/>
        <w:rPr>
          <w:rFonts w:hint="eastAsia" w:asciiTheme="minorEastAsia" w:hAnsiTheme="minorEastAsia" w:eastAsiaTheme="minorEastAsia" w:cstheme="minorEastAsia"/>
          <w:b w:val="0"/>
          <w:bCs/>
          <w:kern w:val="0"/>
          <w:sz w:val="20"/>
          <w:szCs w:val="20"/>
          <w:highlight w:val="none"/>
        </w:rPr>
      </w:pPr>
      <w:r>
        <w:rPr>
          <w:rFonts w:hint="eastAsia" w:asciiTheme="minorEastAsia" w:hAnsiTheme="minorEastAsia" w:eastAsiaTheme="minorEastAsia" w:cstheme="minorEastAsia"/>
          <w:b w:val="0"/>
          <w:bCs/>
          <w:kern w:val="0"/>
          <w:sz w:val="20"/>
          <w:szCs w:val="20"/>
          <w:highlight w:val="none"/>
        </w:rPr>
        <w:t>名额：交通运输规划与管理专业</w:t>
      </w:r>
      <w:r>
        <w:rPr>
          <w:rFonts w:hint="eastAsia" w:asciiTheme="minorEastAsia" w:hAnsiTheme="minorEastAsia" w:cstheme="minorEastAsia"/>
          <w:b w:val="0"/>
          <w:bCs/>
          <w:kern w:val="0"/>
          <w:sz w:val="20"/>
          <w:szCs w:val="20"/>
          <w:highlight w:val="none"/>
          <w:lang w:val="en-US" w:eastAsia="zh-CN"/>
        </w:rPr>
        <w:t>39</w:t>
      </w:r>
      <w:r>
        <w:rPr>
          <w:rFonts w:hint="eastAsia" w:asciiTheme="minorEastAsia" w:hAnsiTheme="minorEastAsia" w:eastAsiaTheme="minorEastAsia" w:cstheme="minorEastAsia"/>
          <w:b w:val="0"/>
          <w:bCs/>
          <w:kern w:val="0"/>
          <w:sz w:val="20"/>
          <w:szCs w:val="20"/>
          <w:highlight w:val="none"/>
        </w:rPr>
        <w:t>人</w:t>
      </w:r>
    </w:p>
    <w:p w14:paraId="5A621F6D">
      <w:pPr>
        <w:widowControl/>
        <w:spacing w:line="300" w:lineRule="auto"/>
        <w:jc w:val="left"/>
        <w:rPr>
          <w:rFonts w:hint="eastAsia" w:asciiTheme="minorEastAsia" w:hAnsiTheme="minorEastAsia" w:eastAsiaTheme="minorEastAsia" w:cstheme="minorEastAsia"/>
          <w:b w:val="0"/>
          <w:bCs/>
          <w:kern w:val="0"/>
          <w:sz w:val="20"/>
          <w:szCs w:val="20"/>
          <w:highlight w:val="none"/>
        </w:rPr>
      </w:pPr>
      <w:r>
        <w:rPr>
          <w:rFonts w:hint="eastAsia" w:asciiTheme="minorEastAsia" w:hAnsiTheme="minorEastAsia" w:eastAsiaTheme="minorEastAsia" w:cstheme="minorEastAsia"/>
          <w:b w:val="0"/>
          <w:bCs/>
          <w:kern w:val="0"/>
          <w:sz w:val="20"/>
          <w:szCs w:val="20"/>
          <w:highlight w:val="none"/>
        </w:rPr>
        <w:t>本院202</w:t>
      </w:r>
      <w:r>
        <w:rPr>
          <w:rFonts w:hint="eastAsia" w:asciiTheme="minorEastAsia" w:hAnsiTheme="minorEastAsia" w:cstheme="minorEastAsia"/>
          <w:b w:val="0"/>
          <w:bCs/>
          <w:kern w:val="0"/>
          <w:sz w:val="20"/>
          <w:szCs w:val="20"/>
          <w:highlight w:val="none"/>
          <w:lang w:val="en-US" w:eastAsia="zh-CN"/>
        </w:rPr>
        <w:t>5</w:t>
      </w:r>
      <w:r>
        <w:rPr>
          <w:rFonts w:hint="eastAsia" w:asciiTheme="minorEastAsia" w:hAnsiTheme="minorEastAsia" w:eastAsiaTheme="minorEastAsia" w:cstheme="minorEastAsia"/>
          <w:b w:val="0"/>
          <w:bCs/>
          <w:kern w:val="0"/>
          <w:sz w:val="20"/>
          <w:szCs w:val="20"/>
          <w:highlight w:val="none"/>
        </w:rPr>
        <w:t>级硕士（中国籍、非定向）共有</w:t>
      </w:r>
      <w:r>
        <w:rPr>
          <w:rFonts w:hint="eastAsia" w:asciiTheme="minorEastAsia" w:hAnsiTheme="minorEastAsia" w:cstheme="minorEastAsia"/>
          <w:b w:val="0"/>
          <w:bCs/>
          <w:kern w:val="0"/>
          <w:sz w:val="20"/>
          <w:szCs w:val="20"/>
          <w:highlight w:val="none"/>
          <w:lang w:val="en-US" w:eastAsia="zh-CN"/>
        </w:rPr>
        <w:t>223</w:t>
      </w:r>
      <w:r>
        <w:rPr>
          <w:rFonts w:hint="eastAsia" w:asciiTheme="minorEastAsia" w:hAnsiTheme="minorEastAsia" w:eastAsiaTheme="minorEastAsia" w:cstheme="minorEastAsia"/>
          <w:b w:val="0"/>
          <w:bCs/>
          <w:kern w:val="0"/>
          <w:sz w:val="20"/>
          <w:szCs w:val="20"/>
          <w:highlight w:val="none"/>
        </w:rPr>
        <w:t>人，其中交通运输规划与管理专业</w:t>
      </w:r>
      <w:r>
        <w:rPr>
          <w:rFonts w:hint="eastAsia" w:asciiTheme="minorEastAsia" w:hAnsiTheme="minorEastAsia" w:cstheme="minorEastAsia"/>
          <w:b w:val="0"/>
          <w:bCs/>
          <w:kern w:val="0"/>
          <w:sz w:val="20"/>
          <w:szCs w:val="20"/>
          <w:highlight w:val="none"/>
          <w:lang w:val="en-US" w:eastAsia="zh-CN"/>
        </w:rPr>
        <w:t>72</w:t>
      </w:r>
      <w:r>
        <w:rPr>
          <w:rFonts w:hint="eastAsia" w:asciiTheme="minorEastAsia" w:hAnsiTheme="minorEastAsia" w:eastAsiaTheme="minorEastAsia" w:cstheme="minorEastAsia"/>
          <w:b w:val="0"/>
          <w:bCs/>
          <w:kern w:val="0"/>
          <w:sz w:val="20"/>
          <w:szCs w:val="20"/>
          <w:highlight w:val="none"/>
        </w:rPr>
        <w:t>人，</w:t>
      </w:r>
      <w:r>
        <w:rPr>
          <w:rFonts w:hint="eastAsia" w:asciiTheme="minorEastAsia" w:hAnsiTheme="minorEastAsia" w:cstheme="minorEastAsia"/>
          <w:b w:val="0"/>
          <w:bCs/>
          <w:kern w:val="0"/>
          <w:sz w:val="20"/>
          <w:szCs w:val="20"/>
          <w:highlight w:val="none"/>
          <w:lang w:val="en-US" w:eastAsia="zh-CN"/>
        </w:rPr>
        <w:t>交通运输专业151人。</w:t>
      </w:r>
      <w:r>
        <w:rPr>
          <w:rFonts w:hint="eastAsia" w:asciiTheme="minorEastAsia" w:hAnsiTheme="minorEastAsia" w:eastAsiaTheme="minorEastAsia" w:cstheme="minorEastAsia"/>
          <w:b w:val="0"/>
          <w:bCs/>
          <w:kern w:val="0"/>
          <w:sz w:val="20"/>
          <w:szCs w:val="20"/>
          <w:highlight w:val="none"/>
        </w:rPr>
        <w:t>根据研究生部所给比例，奖励标准与名额分配如下：</w:t>
      </w:r>
    </w:p>
    <w:p w14:paraId="0AE0910C">
      <w:pPr>
        <w:widowControl/>
        <w:spacing w:line="300" w:lineRule="auto"/>
        <w:jc w:val="left"/>
        <w:rPr>
          <w:rFonts w:hint="eastAsia" w:asciiTheme="minorEastAsia" w:hAnsiTheme="minorEastAsia" w:eastAsiaTheme="minorEastAsia" w:cstheme="minorEastAsia"/>
          <w:b w:val="0"/>
          <w:bCs/>
          <w:kern w:val="0"/>
          <w:sz w:val="20"/>
          <w:szCs w:val="20"/>
          <w:highlight w:val="none"/>
        </w:rPr>
      </w:pPr>
      <w:r>
        <w:rPr>
          <w:rFonts w:hint="eastAsia" w:asciiTheme="minorEastAsia" w:hAnsiTheme="minorEastAsia" w:eastAsiaTheme="minorEastAsia" w:cstheme="minorEastAsia"/>
          <w:b w:val="0"/>
          <w:bCs/>
          <w:kern w:val="0"/>
          <w:sz w:val="20"/>
          <w:szCs w:val="20"/>
          <w:highlight w:val="none"/>
        </w:rPr>
        <w:t>（1）一等奖学金：12000元</w:t>
      </w:r>
    </w:p>
    <w:p w14:paraId="78ADF513">
      <w:pPr>
        <w:widowControl/>
        <w:spacing w:line="300" w:lineRule="auto"/>
        <w:jc w:val="left"/>
        <w:rPr>
          <w:rFonts w:hint="eastAsia" w:asciiTheme="minorEastAsia" w:hAnsiTheme="minorEastAsia" w:eastAsiaTheme="minorEastAsia" w:cstheme="minorEastAsia"/>
          <w:b w:val="0"/>
          <w:bCs/>
          <w:kern w:val="0"/>
          <w:sz w:val="20"/>
          <w:szCs w:val="20"/>
          <w:highlight w:val="none"/>
        </w:rPr>
      </w:pPr>
      <w:r>
        <w:rPr>
          <w:rFonts w:hint="eastAsia" w:asciiTheme="minorEastAsia" w:hAnsiTheme="minorEastAsia" w:eastAsiaTheme="minorEastAsia" w:cstheme="minorEastAsia"/>
          <w:b w:val="0"/>
          <w:bCs/>
          <w:kern w:val="0"/>
          <w:sz w:val="20"/>
          <w:szCs w:val="20"/>
          <w:highlight w:val="none"/>
        </w:rPr>
        <w:t>名额：交通运输规划与管理专业</w:t>
      </w:r>
      <w:r>
        <w:rPr>
          <w:rFonts w:hint="eastAsia" w:asciiTheme="minorEastAsia" w:hAnsiTheme="minorEastAsia" w:cstheme="minorEastAsia"/>
          <w:b w:val="0"/>
          <w:bCs/>
          <w:kern w:val="0"/>
          <w:sz w:val="20"/>
          <w:szCs w:val="20"/>
          <w:highlight w:val="none"/>
          <w:lang w:val="en-US" w:eastAsia="zh-CN"/>
        </w:rPr>
        <w:t>3</w:t>
      </w:r>
      <w:r>
        <w:rPr>
          <w:rFonts w:hint="eastAsia" w:asciiTheme="minorEastAsia" w:hAnsiTheme="minorEastAsia" w:eastAsiaTheme="minorEastAsia" w:cstheme="minorEastAsia"/>
          <w:b w:val="0"/>
          <w:bCs/>
          <w:kern w:val="0"/>
          <w:sz w:val="20"/>
          <w:szCs w:val="20"/>
          <w:highlight w:val="none"/>
        </w:rPr>
        <w:t>人，交通运输</w:t>
      </w:r>
      <w:r>
        <w:rPr>
          <w:rFonts w:hint="eastAsia" w:asciiTheme="minorEastAsia" w:hAnsiTheme="minorEastAsia" w:cstheme="minorEastAsia"/>
          <w:b w:val="0"/>
          <w:bCs/>
          <w:kern w:val="0"/>
          <w:sz w:val="20"/>
          <w:szCs w:val="20"/>
          <w:highlight w:val="none"/>
          <w:lang w:val="en-US" w:eastAsia="zh-CN"/>
        </w:rPr>
        <w:t>8</w:t>
      </w:r>
      <w:r>
        <w:rPr>
          <w:rFonts w:hint="eastAsia" w:asciiTheme="minorEastAsia" w:hAnsiTheme="minorEastAsia" w:eastAsiaTheme="minorEastAsia" w:cstheme="minorEastAsia"/>
          <w:b w:val="0"/>
          <w:bCs/>
          <w:kern w:val="0"/>
          <w:sz w:val="20"/>
          <w:szCs w:val="20"/>
          <w:highlight w:val="none"/>
        </w:rPr>
        <w:t>人，共</w:t>
      </w:r>
      <w:r>
        <w:rPr>
          <w:rFonts w:hint="eastAsia" w:asciiTheme="minorEastAsia" w:hAnsiTheme="minorEastAsia" w:cstheme="minorEastAsia"/>
          <w:b w:val="0"/>
          <w:bCs/>
          <w:kern w:val="0"/>
          <w:sz w:val="20"/>
          <w:szCs w:val="20"/>
          <w:highlight w:val="none"/>
          <w:lang w:val="en-US" w:eastAsia="zh-CN"/>
        </w:rPr>
        <w:t>11</w:t>
      </w:r>
      <w:r>
        <w:rPr>
          <w:rFonts w:hint="eastAsia" w:asciiTheme="minorEastAsia" w:hAnsiTheme="minorEastAsia" w:eastAsiaTheme="minorEastAsia" w:cstheme="minorEastAsia"/>
          <w:b w:val="0"/>
          <w:bCs/>
          <w:kern w:val="0"/>
          <w:sz w:val="20"/>
          <w:szCs w:val="20"/>
          <w:highlight w:val="none"/>
        </w:rPr>
        <w:t>人</w:t>
      </w:r>
    </w:p>
    <w:p w14:paraId="504499A2">
      <w:pPr>
        <w:widowControl/>
        <w:spacing w:line="300" w:lineRule="auto"/>
        <w:jc w:val="left"/>
        <w:rPr>
          <w:rFonts w:hint="eastAsia" w:asciiTheme="minorEastAsia" w:hAnsiTheme="minorEastAsia" w:eastAsiaTheme="minorEastAsia" w:cstheme="minorEastAsia"/>
          <w:b w:val="0"/>
          <w:bCs/>
          <w:kern w:val="0"/>
          <w:sz w:val="20"/>
          <w:szCs w:val="20"/>
          <w:highlight w:val="none"/>
        </w:rPr>
      </w:pPr>
      <w:r>
        <w:rPr>
          <w:rFonts w:hint="eastAsia" w:asciiTheme="minorEastAsia" w:hAnsiTheme="minorEastAsia" w:eastAsiaTheme="minorEastAsia" w:cstheme="minorEastAsia"/>
          <w:b w:val="0"/>
          <w:bCs/>
          <w:kern w:val="0"/>
          <w:sz w:val="20"/>
          <w:szCs w:val="20"/>
          <w:highlight w:val="none"/>
        </w:rPr>
        <w:t>（2）二等奖学金：6000元</w:t>
      </w:r>
    </w:p>
    <w:p w14:paraId="2861DF87">
      <w:pPr>
        <w:widowControl/>
        <w:spacing w:line="300" w:lineRule="auto"/>
        <w:jc w:val="left"/>
        <w:rPr>
          <w:rFonts w:hint="eastAsia" w:asciiTheme="minorEastAsia" w:hAnsiTheme="minorEastAsia" w:eastAsiaTheme="minorEastAsia" w:cstheme="minorEastAsia"/>
          <w:b w:val="0"/>
          <w:bCs/>
          <w:kern w:val="0"/>
          <w:sz w:val="20"/>
          <w:szCs w:val="20"/>
          <w:highlight w:val="none"/>
        </w:rPr>
      </w:pPr>
      <w:r>
        <w:rPr>
          <w:rFonts w:hint="eastAsia" w:asciiTheme="minorEastAsia" w:hAnsiTheme="minorEastAsia" w:eastAsiaTheme="minorEastAsia" w:cstheme="minorEastAsia"/>
          <w:b w:val="0"/>
          <w:bCs/>
          <w:kern w:val="0"/>
          <w:sz w:val="20"/>
          <w:szCs w:val="20"/>
          <w:highlight w:val="none"/>
        </w:rPr>
        <w:t>名额：交通运输规划与管理专业</w:t>
      </w:r>
      <w:r>
        <w:rPr>
          <w:rFonts w:hint="eastAsia" w:asciiTheme="minorEastAsia" w:hAnsiTheme="minorEastAsia" w:cstheme="minorEastAsia"/>
          <w:b w:val="0"/>
          <w:bCs/>
          <w:kern w:val="0"/>
          <w:sz w:val="20"/>
          <w:szCs w:val="20"/>
          <w:highlight w:val="none"/>
          <w:lang w:val="en-US" w:eastAsia="zh-CN"/>
        </w:rPr>
        <w:t>21</w:t>
      </w:r>
      <w:r>
        <w:rPr>
          <w:rFonts w:hint="eastAsia" w:asciiTheme="minorEastAsia" w:hAnsiTheme="minorEastAsia" w:eastAsiaTheme="minorEastAsia" w:cstheme="minorEastAsia"/>
          <w:b w:val="0"/>
          <w:bCs/>
          <w:kern w:val="0"/>
          <w:sz w:val="20"/>
          <w:szCs w:val="20"/>
          <w:highlight w:val="none"/>
        </w:rPr>
        <w:t>人，交通运输</w:t>
      </w:r>
      <w:r>
        <w:rPr>
          <w:rFonts w:hint="eastAsia" w:asciiTheme="minorEastAsia" w:hAnsiTheme="minorEastAsia" w:cstheme="minorEastAsia"/>
          <w:b w:val="0"/>
          <w:bCs/>
          <w:kern w:val="0"/>
          <w:sz w:val="20"/>
          <w:szCs w:val="20"/>
          <w:highlight w:val="none"/>
          <w:lang w:val="en-US" w:eastAsia="zh-CN"/>
        </w:rPr>
        <w:t>45</w:t>
      </w:r>
      <w:r>
        <w:rPr>
          <w:rFonts w:hint="eastAsia" w:asciiTheme="minorEastAsia" w:hAnsiTheme="minorEastAsia" w:eastAsiaTheme="minorEastAsia" w:cstheme="minorEastAsia"/>
          <w:b w:val="0"/>
          <w:bCs/>
          <w:kern w:val="0"/>
          <w:sz w:val="20"/>
          <w:szCs w:val="20"/>
          <w:highlight w:val="none"/>
        </w:rPr>
        <w:t>人，共</w:t>
      </w:r>
      <w:r>
        <w:rPr>
          <w:rFonts w:hint="eastAsia" w:asciiTheme="minorEastAsia" w:hAnsiTheme="minorEastAsia" w:cstheme="minorEastAsia"/>
          <w:b w:val="0"/>
          <w:bCs/>
          <w:kern w:val="0"/>
          <w:sz w:val="20"/>
          <w:szCs w:val="20"/>
          <w:highlight w:val="none"/>
          <w:lang w:val="en-US" w:eastAsia="zh-CN"/>
        </w:rPr>
        <w:t>66</w:t>
      </w:r>
      <w:r>
        <w:rPr>
          <w:rFonts w:hint="eastAsia" w:asciiTheme="minorEastAsia" w:hAnsiTheme="minorEastAsia" w:eastAsiaTheme="minorEastAsia" w:cstheme="minorEastAsia"/>
          <w:b w:val="0"/>
          <w:bCs/>
          <w:kern w:val="0"/>
          <w:sz w:val="20"/>
          <w:szCs w:val="20"/>
          <w:highlight w:val="none"/>
        </w:rPr>
        <w:t>人</w:t>
      </w:r>
    </w:p>
    <w:p w14:paraId="04BDE5AA">
      <w:pPr>
        <w:widowControl/>
        <w:spacing w:line="300" w:lineRule="auto"/>
        <w:jc w:val="left"/>
        <w:rPr>
          <w:rFonts w:hint="eastAsia" w:asciiTheme="minorEastAsia" w:hAnsiTheme="minorEastAsia" w:eastAsiaTheme="minorEastAsia" w:cstheme="minorEastAsia"/>
          <w:b w:val="0"/>
          <w:bCs/>
          <w:kern w:val="0"/>
          <w:sz w:val="20"/>
          <w:szCs w:val="20"/>
          <w:highlight w:val="none"/>
        </w:rPr>
      </w:pPr>
      <w:r>
        <w:rPr>
          <w:rFonts w:hint="eastAsia" w:asciiTheme="minorEastAsia" w:hAnsiTheme="minorEastAsia" w:eastAsiaTheme="minorEastAsia" w:cstheme="minorEastAsia"/>
          <w:b w:val="0"/>
          <w:bCs/>
          <w:kern w:val="0"/>
          <w:sz w:val="20"/>
          <w:szCs w:val="20"/>
          <w:highlight w:val="none"/>
        </w:rPr>
        <w:t>（3）三等奖学金：3000元</w:t>
      </w:r>
    </w:p>
    <w:p w14:paraId="109190EE">
      <w:pPr>
        <w:widowControl/>
        <w:spacing w:line="300" w:lineRule="auto"/>
        <w:jc w:val="left"/>
        <w:rPr>
          <w:rFonts w:hint="eastAsia" w:asciiTheme="minorEastAsia" w:hAnsiTheme="minorEastAsia" w:eastAsiaTheme="minorEastAsia" w:cstheme="minorEastAsia"/>
          <w:b w:val="0"/>
          <w:bCs/>
          <w:kern w:val="0"/>
          <w:sz w:val="20"/>
          <w:szCs w:val="20"/>
          <w:highlight w:val="none"/>
        </w:rPr>
      </w:pPr>
      <w:r>
        <w:rPr>
          <w:rFonts w:hint="eastAsia" w:asciiTheme="minorEastAsia" w:hAnsiTheme="minorEastAsia" w:eastAsiaTheme="minorEastAsia" w:cstheme="minorEastAsia"/>
          <w:b w:val="0"/>
          <w:bCs/>
          <w:kern w:val="0"/>
          <w:sz w:val="20"/>
          <w:szCs w:val="20"/>
          <w:highlight w:val="none"/>
        </w:rPr>
        <w:t>名额：交通运输规划与管理专业</w:t>
      </w:r>
      <w:r>
        <w:rPr>
          <w:rFonts w:hint="eastAsia" w:asciiTheme="minorEastAsia" w:hAnsiTheme="minorEastAsia" w:cstheme="minorEastAsia"/>
          <w:b w:val="0"/>
          <w:bCs/>
          <w:kern w:val="0"/>
          <w:sz w:val="20"/>
          <w:szCs w:val="20"/>
          <w:highlight w:val="none"/>
          <w:lang w:val="en-US" w:eastAsia="zh-CN"/>
        </w:rPr>
        <w:t>39</w:t>
      </w:r>
      <w:r>
        <w:rPr>
          <w:rFonts w:hint="eastAsia" w:asciiTheme="minorEastAsia" w:hAnsiTheme="minorEastAsia" w:eastAsiaTheme="minorEastAsia" w:cstheme="minorEastAsia"/>
          <w:b w:val="0"/>
          <w:bCs/>
          <w:kern w:val="0"/>
          <w:sz w:val="20"/>
          <w:szCs w:val="20"/>
          <w:highlight w:val="none"/>
        </w:rPr>
        <w:t>人，交通运输</w:t>
      </w:r>
      <w:r>
        <w:rPr>
          <w:rFonts w:hint="eastAsia" w:asciiTheme="minorEastAsia" w:hAnsiTheme="minorEastAsia" w:cstheme="minorEastAsia"/>
          <w:b w:val="0"/>
          <w:bCs/>
          <w:kern w:val="0"/>
          <w:sz w:val="20"/>
          <w:szCs w:val="20"/>
          <w:highlight w:val="none"/>
          <w:lang w:val="en-US" w:eastAsia="zh-CN"/>
        </w:rPr>
        <w:t>82</w:t>
      </w:r>
      <w:r>
        <w:rPr>
          <w:rFonts w:hint="eastAsia" w:asciiTheme="minorEastAsia" w:hAnsiTheme="minorEastAsia" w:eastAsiaTheme="minorEastAsia" w:cstheme="minorEastAsia"/>
          <w:b w:val="0"/>
          <w:bCs/>
          <w:kern w:val="0"/>
          <w:sz w:val="20"/>
          <w:szCs w:val="20"/>
          <w:highlight w:val="none"/>
        </w:rPr>
        <w:t>人，共</w:t>
      </w:r>
      <w:r>
        <w:rPr>
          <w:rFonts w:hint="eastAsia" w:asciiTheme="minorEastAsia" w:hAnsiTheme="minorEastAsia" w:cstheme="minorEastAsia"/>
          <w:b w:val="0"/>
          <w:bCs/>
          <w:kern w:val="0"/>
          <w:sz w:val="20"/>
          <w:szCs w:val="20"/>
          <w:highlight w:val="none"/>
          <w:lang w:val="en-US" w:eastAsia="zh-CN"/>
        </w:rPr>
        <w:t>121</w:t>
      </w:r>
      <w:r>
        <w:rPr>
          <w:rFonts w:hint="eastAsia" w:asciiTheme="minorEastAsia" w:hAnsiTheme="minorEastAsia" w:eastAsiaTheme="minorEastAsia" w:cstheme="minorEastAsia"/>
          <w:b w:val="0"/>
          <w:bCs/>
          <w:kern w:val="0"/>
          <w:sz w:val="20"/>
          <w:szCs w:val="20"/>
          <w:highlight w:val="none"/>
        </w:rPr>
        <w:t>人</w:t>
      </w:r>
    </w:p>
    <w:p w14:paraId="6C5FA5F9">
      <w:pPr>
        <w:widowControl/>
        <w:spacing w:line="300" w:lineRule="auto"/>
        <w:jc w:val="left"/>
        <w:rPr>
          <w:rFonts w:hint="eastAsia" w:asciiTheme="minorEastAsia" w:hAnsiTheme="minorEastAsia" w:eastAsiaTheme="minorEastAsia" w:cstheme="minorEastAsia"/>
          <w:b w:val="0"/>
          <w:bCs/>
          <w:kern w:val="0"/>
          <w:sz w:val="20"/>
          <w:szCs w:val="20"/>
          <w:highlight w:val="none"/>
        </w:rPr>
      </w:pPr>
    </w:p>
    <w:p w14:paraId="065E0C4E">
      <w:pPr>
        <w:widowControl/>
        <w:spacing w:line="300" w:lineRule="auto"/>
        <w:jc w:val="left"/>
        <w:rPr>
          <w:rFonts w:hint="eastAsia" w:asciiTheme="minorEastAsia" w:hAnsiTheme="minorEastAsia" w:eastAsiaTheme="minorEastAsia" w:cstheme="minorEastAsia"/>
          <w:b/>
          <w:bCs w:val="0"/>
          <w:kern w:val="0"/>
          <w:sz w:val="20"/>
          <w:szCs w:val="20"/>
          <w:highlight w:val="none"/>
        </w:rPr>
      </w:pPr>
      <w:r>
        <w:rPr>
          <w:rFonts w:hint="eastAsia" w:asciiTheme="minorEastAsia" w:hAnsiTheme="minorEastAsia" w:eastAsiaTheme="minorEastAsia" w:cstheme="minorEastAsia"/>
          <w:b/>
          <w:bCs w:val="0"/>
          <w:kern w:val="0"/>
          <w:sz w:val="20"/>
          <w:szCs w:val="20"/>
          <w:highlight w:val="none"/>
        </w:rPr>
        <w:t>四、硕士学业奖学金评选细则</w:t>
      </w:r>
    </w:p>
    <w:p w14:paraId="275B45D0">
      <w:pPr>
        <w:keepNext w:val="0"/>
        <w:keepLines w:val="0"/>
        <w:pageBreakBefore w:val="0"/>
        <w:widowControl/>
        <w:kinsoku/>
        <w:wordWrap/>
        <w:overflowPunct/>
        <w:topLinePunct w:val="0"/>
        <w:autoSpaceDE/>
        <w:autoSpaceDN/>
        <w:bidi w:val="0"/>
        <w:adjustRightInd/>
        <w:snapToGrid/>
        <w:spacing w:line="300" w:lineRule="auto"/>
        <w:ind w:left="0" w:leftChars="0"/>
        <w:jc w:val="left"/>
        <w:textAlignment w:val="auto"/>
        <w:rPr>
          <w:rFonts w:hint="eastAsia" w:asciiTheme="minorEastAsia" w:hAnsiTheme="minorEastAsia" w:eastAsiaTheme="minorEastAsia" w:cstheme="minorEastAsia"/>
          <w:b/>
          <w:kern w:val="0"/>
          <w:sz w:val="20"/>
          <w:szCs w:val="20"/>
          <w:highlight w:val="none"/>
        </w:rPr>
      </w:pPr>
      <w:r>
        <w:rPr>
          <w:rFonts w:hint="eastAsia" w:asciiTheme="minorEastAsia" w:hAnsiTheme="minorEastAsia" w:eastAsiaTheme="minorEastAsia" w:cstheme="minorEastAsia"/>
          <w:b/>
          <w:kern w:val="0"/>
          <w:sz w:val="20"/>
          <w:szCs w:val="20"/>
          <w:highlight w:val="none"/>
        </w:rPr>
        <w:t>（一）计分说明</w:t>
      </w:r>
    </w:p>
    <w:p w14:paraId="77140217">
      <w:pPr>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left"/>
        <w:textAlignment w:val="auto"/>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kern w:val="0"/>
          <w:sz w:val="20"/>
          <w:szCs w:val="20"/>
          <w:highlight w:val="none"/>
        </w:rPr>
        <w:t>1.各项评分细则参考学校相关评选和奖励办法，结合交通运输学院特色制定。如遇特殊或细则中未提及的情况，由学院奖助学金评审小组讨论确定。</w:t>
      </w:r>
    </w:p>
    <w:p w14:paraId="440A15A1">
      <w:pPr>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left"/>
        <w:textAlignment w:val="auto"/>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kern w:val="0"/>
          <w:sz w:val="20"/>
          <w:szCs w:val="20"/>
          <w:highlight w:val="none"/>
        </w:rPr>
        <w:t>2.各一级指标计分时，二级指标可累计加分。</w:t>
      </w:r>
    </w:p>
    <w:p w14:paraId="6BF507FF">
      <w:pPr>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left"/>
        <w:textAlignment w:val="auto"/>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kern w:val="0"/>
          <w:sz w:val="20"/>
          <w:szCs w:val="20"/>
          <w:highlight w:val="none"/>
        </w:rPr>
        <w:t>3.如果出现总成绩相等的情况，由学院奖助学金评审小组讨论确定入选名单，5名及以上评审小组成员参加讨论即可生效。</w:t>
      </w:r>
    </w:p>
    <w:p w14:paraId="3F659A32">
      <w:pPr>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left"/>
        <w:textAlignment w:val="auto"/>
        <w:rPr>
          <w:rFonts w:hint="eastAsia" w:asciiTheme="minorEastAsia" w:hAnsiTheme="minorEastAsia" w:eastAsiaTheme="minorEastAsia" w:cstheme="minorEastAsia"/>
          <w:kern w:val="0"/>
          <w:sz w:val="20"/>
          <w:szCs w:val="20"/>
          <w:highlight w:val="none"/>
        </w:rPr>
      </w:pPr>
    </w:p>
    <w:p w14:paraId="4325C440">
      <w:pPr>
        <w:keepNext w:val="0"/>
        <w:keepLines w:val="0"/>
        <w:pageBreakBefore w:val="0"/>
        <w:widowControl/>
        <w:kinsoku/>
        <w:wordWrap/>
        <w:overflowPunct/>
        <w:topLinePunct w:val="0"/>
        <w:autoSpaceDE/>
        <w:autoSpaceDN/>
        <w:bidi w:val="0"/>
        <w:adjustRightInd/>
        <w:snapToGrid/>
        <w:spacing w:line="300" w:lineRule="auto"/>
        <w:ind w:left="0" w:leftChars="0"/>
        <w:jc w:val="left"/>
        <w:textAlignment w:val="auto"/>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b/>
          <w:bCs/>
          <w:kern w:val="0"/>
          <w:sz w:val="20"/>
          <w:szCs w:val="20"/>
          <w:highlight w:val="none"/>
        </w:rPr>
        <w:t>（二）</w:t>
      </w:r>
      <w:r>
        <w:rPr>
          <w:rFonts w:hint="eastAsia" w:asciiTheme="minorEastAsia" w:hAnsiTheme="minorEastAsia" w:eastAsiaTheme="minorEastAsia" w:cstheme="minorEastAsia"/>
          <w:b/>
          <w:kern w:val="0"/>
          <w:sz w:val="20"/>
          <w:szCs w:val="20"/>
          <w:highlight w:val="none"/>
        </w:rPr>
        <w:t>硕士一年级研究生奖学金</w:t>
      </w:r>
      <w:r>
        <w:rPr>
          <w:rFonts w:hint="eastAsia" w:asciiTheme="minorEastAsia" w:hAnsiTheme="minorEastAsia" w:eastAsiaTheme="minorEastAsia" w:cstheme="minorEastAsia"/>
          <w:b/>
          <w:bCs/>
          <w:kern w:val="0"/>
          <w:sz w:val="20"/>
          <w:szCs w:val="20"/>
          <w:highlight w:val="none"/>
        </w:rPr>
        <w:t xml:space="preserve">评分细则  </w:t>
      </w:r>
    </w:p>
    <w:p w14:paraId="0EABFD95">
      <w:pPr>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left"/>
        <w:textAlignment w:val="auto"/>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kern w:val="0"/>
          <w:sz w:val="20"/>
          <w:szCs w:val="20"/>
          <w:highlight w:val="none"/>
        </w:rPr>
        <w:t>1.20</w:t>
      </w:r>
      <w:r>
        <w:rPr>
          <w:rFonts w:hint="eastAsia" w:asciiTheme="minorEastAsia" w:hAnsiTheme="minorEastAsia" w:eastAsiaTheme="minorEastAsia" w:cstheme="minorEastAsia"/>
          <w:kern w:val="0"/>
          <w:sz w:val="20"/>
          <w:szCs w:val="20"/>
          <w:highlight w:val="none"/>
          <w:lang w:val="en-US" w:eastAsia="zh-CN"/>
        </w:rPr>
        <w:t>2</w:t>
      </w:r>
      <w:r>
        <w:rPr>
          <w:rFonts w:hint="eastAsia" w:asciiTheme="minorEastAsia" w:hAnsiTheme="minorEastAsia" w:cstheme="minorEastAsia"/>
          <w:kern w:val="0"/>
          <w:sz w:val="20"/>
          <w:szCs w:val="20"/>
          <w:highlight w:val="none"/>
          <w:lang w:val="en-US" w:eastAsia="zh-CN"/>
        </w:rPr>
        <w:t>6</w:t>
      </w:r>
      <w:r>
        <w:rPr>
          <w:rFonts w:hint="eastAsia" w:asciiTheme="minorEastAsia" w:hAnsiTheme="minorEastAsia" w:eastAsiaTheme="minorEastAsia" w:cstheme="minorEastAsia"/>
          <w:kern w:val="0"/>
          <w:sz w:val="20"/>
          <w:szCs w:val="20"/>
          <w:highlight w:val="none"/>
        </w:rPr>
        <w:t>级硕士免推生，默认评定为一等奖。</w:t>
      </w:r>
    </w:p>
    <w:p w14:paraId="50A3C0D7">
      <w:pPr>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left"/>
        <w:textAlignment w:val="auto"/>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kern w:val="0"/>
          <w:sz w:val="20"/>
          <w:szCs w:val="20"/>
          <w:highlight w:val="none"/>
        </w:rPr>
        <w:t>2.非推荐免试的研究生，评定公式为：</w:t>
      </w:r>
    </w:p>
    <w:p w14:paraId="28FB7BF4">
      <w:pPr>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left"/>
        <w:textAlignment w:val="auto"/>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kern w:val="0"/>
          <w:sz w:val="20"/>
          <w:szCs w:val="20"/>
          <w:highlight w:val="none"/>
        </w:rPr>
        <w:t>总分数=评奖成绩*80%+科研</w:t>
      </w:r>
      <w:r>
        <w:rPr>
          <w:rFonts w:hint="eastAsia" w:asciiTheme="minorEastAsia" w:hAnsiTheme="minorEastAsia" w:eastAsiaTheme="minorEastAsia" w:cstheme="minorEastAsia"/>
          <w:kern w:val="0"/>
          <w:sz w:val="20"/>
          <w:szCs w:val="20"/>
          <w:highlight w:val="none"/>
          <w:lang w:val="en-US" w:eastAsia="zh-CN"/>
        </w:rPr>
        <w:t>潜力分值</w:t>
      </w:r>
      <w:r>
        <w:rPr>
          <w:rFonts w:hint="eastAsia" w:asciiTheme="minorEastAsia" w:hAnsiTheme="minorEastAsia" w:eastAsiaTheme="minorEastAsia" w:cstheme="minorEastAsia"/>
          <w:kern w:val="0"/>
          <w:sz w:val="20"/>
          <w:szCs w:val="20"/>
          <w:highlight w:val="none"/>
        </w:rPr>
        <w:t>*20%</w:t>
      </w:r>
    </w:p>
    <w:p w14:paraId="7A53CD40">
      <w:pPr>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left"/>
        <w:textAlignment w:val="auto"/>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kern w:val="0"/>
          <w:sz w:val="20"/>
          <w:szCs w:val="20"/>
          <w:highlight w:val="none"/>
        </w:rPr>
        <w:t>录取成绩=初试总成绩+复试总成绩</w:t>
      </w:r>
    </w:p>
    <w:p w14:paraId="2E8992E7">
      <w:pPr>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left"/>
        <w:textAlignment w:val="auto"/>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kern w:val="0"/>
          <w:sz w:val="20"/>
          <w:szCs w:val="20"/>
          <w:highlight w:val="none"/>
        </w:rPr>
        <w:t>评奖成绩为在硕士新生的研究生部录取成绩基础上加权系数计算出评奖成绩，计算方法为：</w:t>
      </w:r>
    </w:p>
    <w:p w14:paraId="6881E344">
      <w:pPr>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left"/>
        <w:textAlignment w:val="auto"/>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sz w:val="20"/>
          <w:szCs w:val="20"/>
          <w:highlight w:val="none"/>
        </w:rPr>
        <w:t>评奖成绩</w:t>
      </w:r>
      <w:r>
        <w:rPr>
          <w:rFonts w:hint="eastAsia" w:asciiTheme="minorEastAsia" w:hAnsiTheme="minorEastAsia" w:eastAsiaTheme="minorEastAsia" w:cstheme="minorEastAsia"/>
          <w:kern w:val="0"/>
          <w:sz w:val="20"/>
          <w:szCs w:val="20"/>
          <w:highlight w:val="none"/>
        </w:rPr>
        <w:t>=</w:t>
      </w:r>
      <w:r>
        <w:rPr>
          <w:rFonts w:hint="eastAsia" w:asciiTheme="minorEastAsia" w:hAnsiTheme="minorEastAsia" w:eastAsiaTheme="minorEastAsia" w:cstheme="minorEastAsia"/>
          <w:sz w:val="20"/>
          <w:szCs w:val="20"/>
          <w:highlight w:val="none"/>
        </w:rPr>
        <w:t>录取成绩</w:t>
      </w:r>
      <w:r>
        <w:rPr>
          <w:rFonts w:hint="eastAsia" w:asciiTheme="minorEastAsia" w:hAnsiTheme="minorEastAsia" w:eastAsiaTheme="minorEastAsia" w:cstheme="minorEastAsia"/>
          <w:kern w:val="0"/>
          <w:sz w:val="20"/>
          <w:szCs w:val="20"/>
          <w:highlight w:val="none"/>
        </w:rPr>
        <w:t>×（1＋</w:t>
      </w:r>
      <w:r>
        <w:rPr>
          <w:rFonts w:hint="eastAsia" w:asciiTheme="minorEastAsia" w:hAnsiTheme="minorEastAsia" w:eastAsiaTheme="minorEastAsia" w:cstheme="minorEastAsia"/>
          <w:kern w:val="0"/>
          <w:sz w:val="20"/>
          <w:szCs w:val="20"/>
          <w:highlight w:val="none"/>
          <w:lang w:val="en-US" w:eastAsia="zh-CN"/>
        </w:rPr>
        <w:t>A</w:t>
      </w:r>
      <w:r>
        <w:rPr>
          <w:rFonts w:hint="eastAsia" w:asciiTheme="minorEastAsia" w:hAnsiTheme="minorEastAsia" w:eastAsiaTheme="minorEastAsia" w:cstheme="minorEastAsia"/>
          <w:kern w:val="0"/>
          <w:sz w:val="20"/>
          <w:szCs w:val="20"/>
          <w:highlight w:val="none"/>
        </w:rPr>
        <w:t>）</w:t>
      </w:r>
      <w:r>
        <w:rPr>
          <w:rFonts w:hint="eastAsia" w:asciiTheme="minorEastAsia" w:hAnsiTheme="minorEastAsia" w:eastAsiaTheme="minorEastAsia" w:cstheme="minorEastAsia"/>
          <w:sz w:val="20"/>
          <w:szCs w:val="20"/>
          <w:highlight w:val="none"/>
        </w:rPr>
        <w:t>，其中：本科毕业于</w:t>
      </w:r>
      <w:r>
        <w:rPr>
          <w:rFonts w:hint="eastAsia" w:asciiTheme="minorEastAsia" w:hAnsiTheme="minorEastAsia" w:eastAsiaTheme="minorEastAsia" w:cstheme="minorEastAsia"/>
          <w:kern w:val="0"/>
          <w:sz w:val="20"/>
          <w:szCs w:val="20"/>
          <w:highlight w:val="none"/>
        </w:rPr>
        <w:t>985高校、“双一流”建设</w:t>
      </w:r>
      <w:r>
        <w:rPr>
          <w:rFonts w:hint="eastAsia" w:asciiTheme="minorEastAsia" w:hAnsiTheme="minorEastAsia" w:cstheme="minorEastAsia"/>
          <w:kern w:val="0"/>
          <w:sz w:val="20"/>
          <w:szCs w:val="20"/>
          <w:highlight w:val="none"/>
          <w:lang w:val="en-US" w:eastAsia="zh-CN"/>
        </w:rPr>
        <w:t>高校</w:t>
      </w:r>
      <w:r>
        <w:rPr>
          <w:rFonts w:hint="eastAsia" w:asciiTheme="minorEastAsia" w:hAnsiTheme="minorEastAsia" w:cstheme="minorEastAsia"/>
          <w:kern w:val="0"/>
          <w:sz w:val="20"/>
          <w:szCs w:val="20"/>
          <w:highlight w:val="none"/>
          <w:lang w:eastAsia="zh-CN"/>
        </w:rPr>
        <w:t>（</w:t>
      </w:r>
      <w:r>
        <w:rPr>
          <w:rFonts w:hint="eastAsia" w:asciiTheme="minorEastAsia" w:hAnsiTheme="minorEastAsia" w:cstheme="minorEastAsia"/>
          <w:kern w:val="0"/>
          <w:sz w:val="20"/>
          <w:szCs w:val="20"/>
          <w:highlight w:val="none"/>
          <w:lang w:val="en-US" w:eastAsia="zh-CN"/>
        </w:rPr>
        <w:t>即</w:t>
      </w:r>
      <w:r>
        <w:rPr>
          <w:rFonts w:hint="eastAsia" w:asciiTheme="minorEastAsia" w:hAnsiTheme="minorEastAsia" w:eastAsiaTheme="minorEastAsia" w:cstheme="minorEastAsia"/>
          <w:kern w:val="0"/>
          <w:sz w:val="20"/>
          <w:szCs w:val="20"/>
          <w:highlight w:val="none"/>
        </w:rPr>
        <w:t>一流大学建设高校</w:t>
      </w:r>
      <w:r>
        <w:rPr>
          <w:rFonts w:hint="eastAsia" w:asciiTheme="minorEastAsia" w:hAnsiTheme="minorEastAsia" w:cstheme="minorEastAsia"/>
          <w:kern w:val="0"/>
          <w:sz w:val="20"/>
          <w:szCs w:val="20"/>
          <w:highlight w:val="none"/>
          <w:lang w:eastAsia="zh-CN"/>
        </w:rPr>
        <w:t>、一流学科建设高校</w:t>
      </w:r>
      <w:r>
        <w:rPr>
          <w:rFonts w:hint="eastAsia" w:asciiTheme="minorEastAsia" w:hAnsiTheme="minorEastAsia" w:cstheme="minorEastAsia"/>
          <w:kern w:val="0"/>
          <w:sz w:val="20"/>
          <w:szCs w:val="20"/>
          <w:highlight w:val="none"/>
          <w:lang w:val="en-US" w:eastAsia="zh-CN"/>
        </w:rPr>
        <w:t>建设学科）</w:t>
      </w:r>
      <w:r>
        <w:rPr>
          <w:rFonts w:hint="eastAsia" w:asciiTheme="minorEastAsia" w:hAnsiTheme="minorEastAsia" w:eastAsiaTheme="minorEastAsia" w:cstheme="minorEastAsia"/>
          <w:kern w:val="0"/>
          <w:sz w:val="20"/>
          <w:szCs w:val="20"/>
          <w:highlight w:val="none"/>
        </w:rPr>
        <w:t>的</w:t>
      </w:r>
      <w:r>
        <w:rPr>
          <w:rFonts w:hint="eastAsia" w:asciiTheme="minorEastAsia" w:hAnsiTheme="minorEastAsia" w:eastAsiaTheme="minorEastAsia" w:cstheme="minorEastAsia"/>
          <w:kern w:val="0"/>
          <w:sz w:val="20"/>
          <w:szCs w:val="20"/>
          <w:highlight w:val="none"/>
          <w:lang w:val="en-US" w:eastAsia="zh-CN"/>
        </w:rPr>
        <w:t>A</w:t>
      </w:r>
      <w:r>
        <w:rPr>
          <w:rFonts w:hint="eastAsia" w:asciiTheme="minorEastAsia" w:hAnsiTheme="minorEastAsia" w:eastAsiaTheme="minorEastAsia" w:cstheme="minorEastAsia"/>
          <w:kern w:val="0"/>
          <w:sz w:val="20"/>
          <w:szCs w:val="20"/>
          <w:highlight w:val="none"/>
        </w:rPr>
        <w:t>=0.1，否则为0。</w:t>
      </w:r>
    </w:p>
    <w:p w14:paraId="48A2AE9D">
      <w:pPr>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left"/>
        <w:textAlignment w:val="auto"/>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kern w:val="0"/>
          <w:sz w:val="20"/>
          <w:szCs w:val="20"/>
          <w:highlight w:val="none"/>
        </w:rPr>
        <w:t>注：</w:t>
      </w:r>
    </w:p>
    <w:p w14:paraId="74F264DF">
      <w:pPr>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left"/>
        <w:textAlignment w:val="auto"/>
        <w:rPr>
          <w:rFonts w:hint="eastAsia" w:asciiTheme="minorEastAsia" w:hAnsiTheme="minorEastAsia" w:eastAsiaTheme="minorEastAsia" w:cstheme="minorEastAsia"/>
          <w:kern w:val="0"/>
          <w:sz w:val="20"/>
          <w:szCs w:val="20"/>
          <w:highlight w:val="none"/>
          <w:lang w:val="en-US" w:eastAsia="zh-CN"/>
        </w:rPr>
      </w:pPr>
      <w:r>
        <w:rPr>
          <w:rFonts w:hint="eastAsia" w:asciiTheme="minorEastAsia" w:hAnsiTheme="minorEastAsia" w:eastAsiaTheme="minorEastAsia" w:cstheme="minorEastAsia"/>
          <w:kern w:val="0"/>
          <w:sz w:val="20"/>
          <w:szCs w:val="20"/>
          <w:highlight w:val="none"/>
        </w:rPr>
        <w:t>（1）科研</w:t>
      </w:r>
      <w:r>
        <w:rPr>
          <w:rFonts w:hint="eastAsia" w:asciiTheme="minorEastAsia" w:hAnsiTheme="minorEastAsia" w:eastAsiaTheme="minorEastAsia" w:cstheme="minorEastAsia"/>
          <w:kern w:val="0"/>
          <w:sz w:val="20"/>
          <w:szCs w:val="20"/>
          <w:highlight w:val="none"/>
          <w:lang w:val="en-US" w:eastAsia="zh-CN"/>
        </w:rPr>
        <w:t>潜力分值的具体</w:t>
      </w:r>
      <w:r>
        <w:rPr>
          <w:rFonts w:hint="eastAsia" w:asciiTheme="minorEastAsia" w:hAnsiTheme="minorEastAsia" w:eastAsiaTheme="minorEastAsia" w:cstheme="minorEastAsia"/>
          <w:kern w:val="0"/>
          <w:sz w:val="20"/>
          <w:szCs w:val="20"/>
          <w:highlight w:val="none"/>
        </w:rPr>
        <w:t>计算参照上海海事大学研究生学位授予成果要求</w:t>
      </w:r>
      <w:r>
        <w:rPr>
          <w:rFonts w:hint="eastAsia" w:asciiTheme="minorEastAsia" w:hAnsiTheme="minorEastAsia" w:cstheme="minorEastAsia"/>
          <w:kern w:val="0"/>
          <w:sz w:val="20"/>
          <w:szCs w:val="20"/>
          <w:highlight w:val="none"/>
          <w:lang w:eastAsia="zh-CN"/>
        </w:rPr>
        <w:t>（</w:t>
      </w:r>
      <w:r>
        <w:rPr>
          <w:rFonts w:hint="eastAsia" w:asciiTheme="minorEastAsia" w:hAnsiTheme="minorEastAsia" w:cstheme="minorEastAsia"/>
          <w:kern w:val="0"/>
          <w:sz w:val="20"/>
          <w:szCs w:val="20"/>
          <w:highlight w:val="none"/>
          <w:lang w:val="en-US" w:eastAsia="zh-CN"/>
        </w:rPr>
        <w:t>见学生手册</w:t>
      </w:r>
      <w:r>
        <w:rPr>
          <w:rFonts w:hint="eastAsia" w:asciiTheme="minorEastAsia" w:hAnsiTheme="minorEastAsia" w:cstheme="minorEastAsia"/>
          <w:kern w:val="0"/>
          <w:sz w:val="20"/>
          <w:szCs w:val="20"/>
          <w:highlight w:val="none"/>
          <w:lang w:eastAsia="zh-CN"/>
        </w:rPr>
        <w:t>）</w:t>
      </w:r>
      <w:r>
        <w:rPr>
          <w:rFonts w:hint="eastAsia" w:asciiTheme="minorEastAsia" w:hAnsiTheme="minorEastAsia" w:eastAsiaTheme="minorEastAsia" w:cstheme="minorEastAsia"/>
          <w:kern w:val="0"/>
          <w:sz w:val="20"/>
          <w:szCs w:val="20"/>
          <w:highlight w:val="none"/>
          <w:lang w:val="en-US" w:eastAsia="zh-CN"/>
        </w:rPr>
        <w:t>；</w:t>
      </w:r>
    </w:p>
    <w:p w14:paraId="6904045F">
      <w:pPr>
        <w:keepNext w:val="0"/>
        <w:keepLines w:val="0"/>
        <w:pageBreakBefore w:val="0"/>
        <w:numPr>
          <w:numId w:val="0"/>
        </w:numPr>
        <w:kinsoku/>
        <w:wordWrap/>
        <w:overflowPunct/>
        <w:topLinePunct w:val="0"/>
        <w:autoSpaceDE/>
        <w:autoSpaceDN/>
        <w:bidi w:val="0"/>
        <w:adjustRightInd/>
        <w:snapToGrid/>
        <w:spacing w:line="300" w:lineRule="auto"/>
        <w:ind w:firstLine="400" w:firstLineChars="200"/>
        <w:textAlignment w:val="auto"/>
        <w:rPr>
          <w:rFonts w:hint="eastAsia" w:asciiTheme="minorEastAsia" w:hAnsiTheme="minorEastAsia" w:cstheme="minorEastAsia"/>
          <w:kern w:val="0"/>
          <w:sz w:val="20"/>
          <w:szCs w:val="20"/>
          <w:highlight w:val="none"/>
          <w:lang w:eastAsia="zh-CN"/>
        </w:rPr>
      </w:pPr>
      <w:r>
        <w:rPr>
          <w:rFonts w:hint="eastAsia" w:asciiTheme="minorEastAsia" w:hAnsiTheme="minorEastAsia" w:cstheme="minorEastAsia"/>
          <w:b w:val="0"/>
          <w:bCs w:val="0"/>
          <w:kern w:val="0"/>
          <w:sz w:val="20"/>
          <w:szCs w:val="20"/>
          <w:highlight w:val="none"/>
          <w:lang w:eastAsia="zh-CN"/>
        </w:rPr>
        <w:t>（</w:t>
      </w:r>
      <w:r>
        <w:rPr>
          <w:rFonts w:hint="eastAsia" w:asciiTheme="minorEastAsia" w:hAnsiTheme="minorEastAsia" w:cstheme="minorEastAsia"/>
          <w:b w:val="0"/>
          <w:bCs w:val="0"/>
          <w:kern w:val="0"/>
          <w:sz w:val="20"/>
          <w:szCs w:val="20"/>
          <w:highlight w:val="none"/>
          <w:lang w:val="en-US" w:eastAsia="zh-CN"/>
        </w:rPr>
        <w:t>2）</w:t>
      </w:r>
      <w:r>
        <w:rPr>
          <w:rFonts w:hint="eastAsia" w:asciiTheme="minorEastAsia" w:hAnsiTheme="minorEastAsia" w:eastAsiaTheme="minorEastAsia" w:cstheme="minorEastAsia"/>
          <w:b w:val="0"/>
          <w:bCs w:val="0"/>
          <w:kern w:val="0"/>
          <w:sz w:val="20"/>
          <w:szCs w:val="20"/>
          <w:highlight w:val="none"/>
        </w:rPr>
        <w:t>科</w:t>
      </w:r>
      <w:r>
        <w:rPr>
          <w:rFonts w:hint="eastAsia" w:asciiTheme="minorEastAsia" w:hAnsiTheme="minorEastAsia" w:eastAsiaTheme="minorEastAsia" w:cstheme="minorEastAsia"/>
          <w:kern w:val="0"/>
          <w:sz w:val="20"/>
          <w:szCs w:val="20"/>
          <w:highlight w:val="none"/>
        </w:rPr>
        <w:t>研</w:t>
      </w:r>
      <w:r>
        <w:rPr>
          <w:rFonts w:hint="eastAsia" w:asciiTheme="minorEastAsia" w:hAnsiTheme="minorEastAsia" w:eastAsiaTheme="minorEastAsia" w:cstheme="minorEastAsia"/>
          <w:kern w:val="0"/>
          <w:sz w:val="20"/>
          <w:szCs w:val="20"/>
          <w:highlight w:val="none"/>
          <w:lang w:val="en-US" w:eastAsia="zh-CN"/>
        </w:rPr>
        <w:t>潜力分值所涉及材料</w:t>
      </w:r>
      <w:r>
        <w:rPr>
          <w:rFonts w:hint="eastAsia" w:asciiTheme="minorEastAsia" w:hAnsiTheme="minorEastAsia" w:eastAsiaTheme="minorEastAsia" w:cstheme="minorEastAsia"/>
          <w:kern w:val="0"/>
          <w:sz w:val="20"/>
          <w:szCs w:val="20"/>
          <w:highlight w:val="none"/>
        </w:rPr>
        <w:t>的有效统计时间为本科入学至研究生学业奖学金申请之日</w:t>
      </w:r>
      <w:r>
        <w:rPr>
          <w:rFonts w:hint="eastAsia" w:asciiTheme="minorEastAsia" w:hAnsiTheme="minorEastAsia" w:cstheme="minorEastAsia"/>
          <w:kern w:val="0"/>
          <w:sz w:val="20"/>
          <w:szCs w:val="20"/>
          <w:highlight w:val="none"/>
          <w:lang w:eastAsia="zh-CN"/>
        </w:rPr>
        <w:t>。</w:t>
      </w:r>
    </w:p>
    <w:p w14:paraId="1AD84BF4">
      <w:pPr>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hint="eastAsia" w:asciiTheme="minorEastAsia" w:hAnsiTheme="minorEastAsia" w:cstheme="minorEastAsia"/>
          <w:kern w:val="0"/>
          <w:sz w:val="20"/>
          <w:szCs w:val="20"/>
          <w:highlight w:val="none"/>
          <w:lang w:eastAsia="zh-CN"/>
        </w:rPr>
      </w:pPr>
    </w:p>
    <w:p w14:paraId="0167F14A">
      <w:pPr>
        <w:keepNext w:val="0"/>
        <w:keepLines w:val="0"/>
        <w:pageBreakBefore w:val="0"/>
        <w:numPr>
          <w:ilvl w:val="0"/>
          <w:numId w:val="0"/>
        </w:numPr>
        <w:kinsoku/>
        <w:wordWrap/>
        <w:overflowPunct/>
        <w:topLinePunct w:val="0"/>
        <w:autoSpaceDE/>
        <w:autoSpaceDN/>
        <w:bidi w:val="0"/>
        <w:adjustRightInd/>
        <w:spacing w:line="300" w:lineRule="auto"/>
        <w:ind w:left="0" w:leftChars="0"/>
        <w:textAlignment w:val="auto"/>
        <w:rPr>
          <w:rFonts w:hint="eastAsia" w:asciiTheme="minorEastAsia" w:hAnsiTheme="minorEastAsia" w:eastAsiaTheme="minorEastAsia" w:cstheme="minorEastAsia"/>
          <w:b/>
          <w:bCs/>
          <w:kern w:val="0"/>
          <w:sz w:val="20"/>
          <w:szCs w:val="20"/>
          <w:highlight w:val="none"/>
        </w:rPr>
      </w:pPr>
      <w:r>
        <w:rPr>
          <w:rFonts w:hint="eastAsia" w:asciiTheme="minorEastAsia" w:hAnsiTheme="minorEastAsia" w:eastAsiaTheme="minorEastAsia" w:cstheme="minorEastAsia"/>
          <w:b/>
          <w:bCs/>
          <w:kern w:val="0"/>
          <w:sz w:val="18"/>
          <w:szCs w:val="18"/>
          <w:highlight w:val="none"/>
        </w:rPr>
        <w:t>（</w:t>
      </w:r>
      <w:r>
        <w:rPr>
          <w:rFonts w:hint="eastAsia" w:asciiTheme="minorEastAsia" w:hAnsiTheme="minorEastAsia" w:cstheme="minorEastAsia"/>
          <w:b/>
          <w:bCs/>
          <w:kern w:val="0"/>
          <w:sz w:val="18"/>
          <w:szCs w:val="18"/>
          <w:highlight w:val="none"/>
          <w:lang w:val="en-US" w:eastAsia="zh-CN"/>
        </w:rPr>
        <w:t>三</w:t>
      </w:r>
      <w:r>
        <w:rPr>
          <w:rFonts w:hint="eastAsia" w:asciiTheme="minorEastAsia" w:hAnsiTheme="minorEastAsia" w:eastAsiaTheme="minorEastAsia" w:cstheme="minorEastAsia"/>
          <w:b/>
          <w:bCs/>
          <w:kern w:val="0"/>
          <w:sz w:val="18"/>
          <w:szCs w:val="18"/>
          <w:highlight w:val="none"/>
        </w:rPr>
        <w:t>）</w:t>
      </w:r>
      <w:r>
        <w:rPr>
          <w:rFonts w:hint="eastAsia" w:asciiTheme="minorEastAsia" w:hAnsiTheme="minorEastAsia" w:eastAsiaTheme="minorEastAsia" w:cstheme="minorEastAsia"/>
          <w:b/>
          <w:bCs/>
          <w:kern w:val="0"/>
          <w:sz w:val="20"/>
          <w:szCs w:val="20"/>
          <w:highlight w:val="none"/>
        </w:rPr>
        <w:t>20</w:t>
      </w:r>
      <w:r>
        <w:rPr>
          <w:rFonts w:hint="eastAsia" w:asciiTheme="minorEastAsia" w:hAnsiTheme="minorEastAsia" w:eastAsiaTheme="minorEastAsia" w:cstheme="minorEastAsia"/>
          <w:b/>
          <w:bCs/>
          <w:kern w:val="0"/>
          <w:sz w:val="20"/>
          <w:szCs w:val="20"/>
          <w:highlight w:val="none"/>
          <w:lang w:val="en-US" w:eastAsia="zh-CN"/>
        </w:rPr>
        <w:t>2</w:t>
      </w:r>
      <w:r>
        <w:rPr>
          <w:rFonts w:hint="eastAsia" w:asciiTheme="minorEastAsia" w:hAnsiTheme="minorEastAsia" w:cstheme="minorEastAsia"/>
          <w:b/>
          <w:bCs/>
          <w:kern w:val="0"/>
          <w:sz w:val="20"/>
          <w:szCs w:val="20"/>
          <w:highlight w:val="none"/>
          <w:lang w:val="en-US" w:eastAsia="zh-CN"/>
        </w:rPr>
        <w:t>4</w:t>
      </w:r>
      <w:r>
        <w:rPr>
          <w:rFonts w:hint="eastAsia" w:asciiTheme="minorEastAsia" w:hAnsiTheme="minorEastAsia" w:eastAsiaTheme="minorEastAsia" w:cstheme="minorEastAsia"/>
          <w:b/>
          <w:bCs/>
          <w:kern w:val="0"/>
          <w:sz w:val="20"/>
          <w:szCs w:val="20"/>
          <w:highlight w:val="none"/>
        </w:rPr>
        <w:t>级硕士研究生学业综合奖学金</w:t>
      </w:r>
    </w:p>
    <w:p w14:paraId="238B942B">
      <w:pPr>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left"/>
        <w:textAlignment w:val="auto"/>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kern w:val="0"/>
          <w:sz w:val="20"/>
          <w:szCs w:val="20"/>
          <w:highlight w:val="none"/>
        </w:rPr>
        <w:t>1.学业综合奖学金评选采用各单项累计计分制，总成绩和各单项计分基本采用百分制，科研成果计分、导师评分权重分别为</w:t>
      </w:r>
      <w:r>
        <w:rPr>
          <w:rFonts w:hint="eastAsia" w:asciiTheme="minorEastAsia" w:hAnsiTheme="minorEastAsia" w:cstheme="minorEastAsia"/>
          <w:kern w:val="0"/>
          <w:sz w:val="20"/>
          <w:szCs w:val="20"/>
          <w:highlight w:val="none"/>
          <w:lang w:val="en-US" w:eastAsia="zh-CN"/>
        </w:rPr>
        <w:t>7</w:t>
      </w:r>
      <w:r>
        <w:rPr>
          <w:rFonts w:hint="eastAsia" w:asciiTheme="minorEastAsia" w:hAnsiTheme="minorEastAsia" w:eastAsiaTheme="minorEastAsia" w:cstheme="minorEastAsia"/>
          <w:kern w:val="0"/>
          <w:sz w:val="20"/>
          <w:szCs w:val="20"/>
          <w:highlight w:val="none"/>
        </w:rPr>
        <w:t>0%和</w:t>
      </w:r>
      <w:r>
        <w:rPr>
          <w:rFonts w:hint="eastAsia" w:asciiTheme="minorEastAsia" w:hAnsiTheme="minorEastAsia" w:cstheme="minorEastAsia"/>
          <w:kern w:val="0"/>
          <w:sz w:val="20"/>
          <w:szCs w:val="20"/>
          <w:highlight w:val="none"/>
          <w:lang w:val="en-US" w:eastAsia="zh-CN"/>
        </w:rPr>
        <w:t>3</w:t>
      </w:r>
      <w:r>
        <w:rPr>
          <w:rFonts w:hint="eastAsia" w:asciiTheme="minorEastAsia" w:hAnsiTheme="minorEastAsia" w:eastAsiaTheme="minorEastAsia" w:cstheme="minorEastAsia"/>
          <w:kern w:val="0"/>
          <w:sz w:val="20"/>
          <w:szCs w:val="20"/>
          <w:highlight w:val="none"/>
        </w:rPr>
        <w:t>0%，最后按照总分数从高到低进行排序，如出现总成绩相等的情况，视情况通过答辩进行评选。</w:t>
      </w:r>
    </w:p>
    <w:p w14:paraId="156D2FC2">
      <w:pPr>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left"/>
        <w:textAlignment w:val="auto"/>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kern w:val="0"/>
          <w:sz w:val="20"/>
          <w:szCs w:val="20"/>
          <w:highlight w:val="none"/>
        </w:rPr>
        <w:t>学业总成绩=科研成果得分*</w:t>
      </w:r>
      <w:r>
        <w:rPr>
          <w:rFonts w:hint="eastAsia" w:asciiTheme="minorEastAsia" w:hAnsiTheme="minorEastAsia" w:cstheme="minorEastAsia"/>
          <w:kern w:val="0"/>
          <w:sz w:val="20"/>
          <w:szCs w:val="20"/>
          <w:highlight w:val="none"/>
          <w:lang w:val="en-US" w:eastAsia="zh-CN"/>
        </w:rPr>
        <w:t>7</w:t>
      </w:r>
      <w:r>
        <w:rPr>
          <w:rFonts w:hint="eastAsia" w:asciiTheme="minorEastAsia" w:hAnsiTheme="minorEastAsia" w:eastAsiaTheme="minorEastAsia" w:cstheme="minorEastAsia"/>
          <w:kern w:val="0"/>
          <w:sz w:val="20"/>
          <w:szCs w:val="20"/>
          <w:highlight w:val="none"/>
        </w:rPr>
        <w:t>0% +导师评分*</w:t>
      </w:r>
      <w:r>
        <w:rPr>
          <w:rFonts w:hint="eastAsia" w:asciiTheme="minorEastAsia" w:hAnsiTheme="minorEastAsia" w:cstheme="minorEastAsia"/>
          <w:kern w:val="0"/>
          <w:sz w:val="20"/>
          <w:szCs w:val="20"/>
          <w:highlight w:val="none"/>
          <w:lang w:val="en-US" w:eastAsia="zh-CN"/>
        </w:rPr>
        <w:t>3</w:t>
      </w:r>
      <w:r>
        <w:rPr>
          <w:rFonts w:hint="eastAsia" w:asciiTheme="minorEastAsia" w:hAnsiTheme="minorEastAsia" w:eastAsiaTheme="minorEastAsia" w:cstheme="minorEastAsia"/>
          <w:kern w:val="0"/>
          <w:sz w:val="20"/>
          <w:szCs w:val="20"/>
          <w:highlight w:val="none"/>
        </w:rPr>
        <w:t>0%</w:t>
      </w:r>
    </w:p>
    <w:p w14:paraId="08710277">
      <w:pPr>
        <w:keepNext w:val="0"/>
        <w:keepLines w:val="0"/>
        <w:pageBreakBefore w:val="0"/>
        <w:widowControl/>
        <w:shd w:val="clear" w:color="auto" w:fill="FFFFFF"/>
        <w:kinsoku/>
        <w:wordWrap/>
        <w:overflowPunct/>
        <w:topLinePunct w:val="0"/>
        <w:autoSpaceDE/>
        <w:autoSpaceDN/>
        <w:bidi w:val="0"/>
        <w:adjustRightInd/>
        <w:snapToGrid/>
        <w:spacing w:line="300" w:lineRule="auto"/>
        <w:ind w:left="0" w:leftChars="0" w:firstLine="300" w:firstLineChars="150"/>
        <w:jc w:val="left"/>
        <w:textAlignment w:val="auto"/>
        <w:rPr>
          <w:rFonts w:hint="eastAsia" w:asciiTheme="minorEastAsia" w:hAnsiTheme="minorEastAsia" w:eastAsiaTheme="minorEastAsia" w:cstheme="minorEastAsia"/>
          <w:kern w:val="0"/>
          <w:sz w:val="20"/>
          <w:szCs w:val="20"/>
          <w:highlight w:val="none"/>
        </w:rPr>
      </w:pPr>
      <w:r>
        <w:rPr>
          <w:rFonts w:hint="eastAsia" w:asciiTheme="minorEastAsia" w:hAnsiTheme="minorEastAsia" w:cstheme="minorEastAsia"/>
          <w:kern w:val="0"/>
          <w:sz w:val="20"/>
          <w:szCs w:val="20"/>
          <w:highlight w:val="none"/>
          <w:lang w:val="en-US" w:eastAsia="zh-CN"/>
        </w:rPr>
        <w:t>2</w:t>
      </w:r>
      <w:r>
        <w:rPr>
          <w:rFonts w:hint="eastAsia" w:asciiTheme="minorEastAsia" w:hAnsiTheme="minorEastAsia" w:eastAsiaTheme="minorEastAsia" w:cstheme="minorEastAsia"/>
          <w:kern w:val="0"/>
          <w:sz w:val="20"/>
          <w:szCs w:val="20"/>
          <w:highlight w:val="none"/>
        </w:rPr>
        <w:t>.科研成果加分细则</w:t>
      </w:r>
    </w:p>
    <w:p w14:paraId="355CA2EE">
      <w:pPr>
        <w:keepNext w:val="0"/>
        <w:keepLines w:val="0"/>
        <w:pageBreakBefore w:val="0"/>
        <w:widowControl/>
        <w:shd w:val="clear" w:color="auto" w:fill="FFFFFF"/>
        <w:kinsoku/>
        <w:wordWrap/>
        <w:overflowPunct/>
        <w:topLinePunct w:val="0"/>
        <w:autoSpaceDE/>
        <w:autoSpaceDN/>
        <w:bidi w:val="0"/>
        <w:adjustRightInd/>
        <w:snapToGrid/>
        <w:spacing w:line="300" w:lineRule="auto"/>
        <w:ind w:left="0" w:leftChars="0" w:firstLine="400" w:firstLineChars="200"/>
        <w:jc w:val="left"/>
        <w:textAlignment w:val="auto"/>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kern w:val="0"/>
          <w:sz w:val="20"/>
          <w:szCs w:val="20"/>
          <w:highlight w:val="none"/>
        </w:rPr>
        <w:t>科研成果由学生本人自评，导师初评。</w:t>
      </w:r>
    </w:p>
    <w:p w14:paraId="1BA4AC3B">
      <w:pPr>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left"/>
        <w:textAlignment w:val="auto"/>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kern w:val="0"/>
          <w:sz w:val="20"/>
          <w:szCs w:val="20"/>
          <w:highlight w:val="none"/>
        </w:rPr>
        <w:t>科研成果得分=</w:t>
      </w:r>
      <w:r>
        <w:rPr>
          <w:rFonts w:hint="eastAsia" w:asciiTheme="minorEastAsia" w:hAnsiTheme="minorEastAsia" w:cstheme="minorEastAsia"/>
          <w:kern w:val="0"/>
          <w:sz w:val="20"/>
          <w:szCs w:val="20"/>
          <w:highlight w:val="none"/>
          <w:lang w:val="en-US" w:eastAsia="zh-CN"/>
        </w:rPr>
        <w:t>产教融合联合培养计分+</w:t>
      </w:r>
      <w:r>
        <w:rPr>
          <w:rFonts w:hint="eastAsia" w:asciiTheme="minorEastAsia" w:hAnsiTheme="minorEastAsia" w:eastAsiaTheme="minorEastAsia" w:cstheme="minorEastAsia"/>
          <w:kern w:val="0"/>
          <w:sz w:val="20"/>
          <w:szCs w:val="20"/>
          <w:highlight w:val="none"/>
        </w:rPr>
        <w:t>知识产权计分+</w:t>
      </w:r>
      <w:r>
        <w:rPr>
          <w:rFonts w:hint="eastAsia" w:asciiTheme="minorEastAsia" w:hAnsiTheme="minorEastAsia" w:eastAsiaTheme="minorEastAsia" w:cstheme="minorEastAsia"/>
          <w:kern w:val="0"/>
          <w:sz w:val="20"/>
          <w:szCs w:val="20"/>
          <w:highlight w:val="none"/>
          <w:lang w:val="en-US" w:eastAsia="zh-CN"/>
        </w:rPr>
        <w:t>著作</w:t>
      </w:r>
      <w:r>
        <w:rPr>
          <w:rFonts w:hint="eastAsia" w:asciiTheme="minorEastAsia" w:hAnsiTheme="minorEastAsia" w:eastAsiaTheme="minorEastAsia" w:cstheme="minorEastAsia"/>
          <w:kern w:val="0"/>
          <w:sz w:val="20"/>
          <w:szCs w:val="20"/>
          <w:highlight w:val="none"/>
        </w:rPr>
        <w:t>计分+竞赛</w:t>
      </w:r>
      <w:r>
        <w:rPr>
          <w:rFonts w:hint="eastAsia" w:asciiTheme="minorEastAsia" w:hAnsiTheme="minorEastAsia" w:eastAsiaTheme="minorEastAsia" w:cstheme="minorEastAsia"/>
          <w:kern w:val="0"/>
          <w:sz w:val="20"/>
          <w:szCs w:val="20"/>
          <w:highlight w:val="none"/>
          <w:lang w:val="en-US" w:eastAsia="zh-CN"/>
        </w:rPr>
        <w:t>获奖</w:t>
      </w:r>
      <w:r>
        <w:rPr>
          <w:rFonts w:hint="eastAsia" w:asciiTheme="minorEastAsia" w:hAnsiTheme="minorEastAsia" w:eastAsiaTheme="minorEastAsia" w:cstheme="minorEastAsia"/>
          <w:kern w:val="0"/>
          <w:sz w:val="20"/>
          <w:szCs w:val="20"/>
          <w:highlight w:val="none"/>
        </w:rPr>
        <w:t>计分+境外研学计分</w:t>
      </w:r>
      <w:r>
        <w:rPr>
          <w:rFonts w:hint="eastAsia" w:asciiTheme="minorEastAsia" w:hAnsiTheme="minorEastAsia" w:eastAsiaTheme="minorEastAsia" w:cstheme="minorEastAsia"/>
          <w:kern w:val="0"/>
          <w:sz w:val="20"/>
          <w:szCs w:val="20"/>
          <w:highlight w:val="none"/>
          <w:lang w:val="en-US" w:eastAsia="zh-CN"/>
        </w:rPr>
        <w:t>+学术会议报告计分+学术论文计分+</w:t>
      </w:r>
      <w:r>
        <w:rPr>
          <w:rFonts w:hint="eastAsia" w:asciiTheme="minorEastAsia" w:hAnsiTheme="minorEastAsia" w:eastAsiaTheme="minorEastAsia" w:cstheme="minorEastAsia"/>
          <w:kern w:val="0"/>
          <w:sz w:val="20"/>
          <w:szCs w:val="20"/>
          <w:highlight w:val="none"/>
        </w:rPr>
        <w:t>其他成果计分</w:t>
      </w:r>
    </w:p>
    <w:p w14:paraId="26AFA546">
      <w:pPr>
        <w:keepNext w:val="0"/>
        <w:keepLines w:val="0"/>
        <w:pageBreakBefore w:val="0"/>
        <w:kinsoku/>
        <w:wordWrap/>
        <w:overflowPunct/>
        <w:topLinePunct w:val="0"/>
        <w:autoSpaceDE/>
        <w:autoSpaceDN/>
        <w:bidi w:val="0"/>
        <w:adjustRightInd/>
        <w:snapToGrid/>
        <w:spacing w:line="300" w:lineRule="auto"/>
        <w:ind w:left="0" w:leftChars="0" w:firstLine="400" w:firstLineChars="200"/>
        <w:textAlignment w:val="auto"/>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kern w:val="0"/>
          <w:sz w:val="20"/>
          <w:szCs w:val="20"/>
          <w:highlight w:val="none"/>
        </w:rPr>
        <w:t>科研成果为百分制，根据科研成果累计总分进行排名，累计总分排名第一的同学，科研成果计分为100分，后序排名计分办法如下：若科研成果累计总分排名第一的累计总分为A，科研成果累计总分排名第二的累计总分为B,则排名第二的同学科研成果计分公式如下：（100/A）*B,之后排名的科研成果计分亦采取此公式进行计算。</w:t>
      </w:r>
    </w:p>
    <w:p w14:paraId="5D157296">
      <w:pPr>
        <w:keepNext w:val="0"/>
        <w:keepLines w:val="0"/>
        <w:pageBreakBefore w:val="0"/>
        <w:kinsoku/>
        <w:wordWrap/>
        <w:overflowPunct/>
        <w:topLinePunct w:val="0"/>
        <w:autoSpaceDE/>
        <w:autoSpaceDN/>
        <w:bidi w:val="0"/>
        <w:adjustRightInd/>
        <w:snapToGrid/>
        <w:spacing w:line="300" w:lineRule="auto"/>
        <w:ind w:left="0" w:leftChars="0" w:firstLine="400" w:firstLineChars="200"/>
        <w:textAlignment w:val="auto"/>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kern w:val="0"/>
          <w:sz w:val="20"/>
          <w:szCs w:val="20"/>
          <w:highlight w:val="none"/>
        </w:rPr>
        <w:t>若一项成果符合多项计分标准，取最大分值计分。列入统计范围的成果必须满足以下条件：</w:t>
      </w:r>
    </w:p>
    <w:p w14:paraId="58E08031">
      <w:pPr>
        <w:keepNext w:val="0"/>
        <w:keepLines w:val="0"/>
        <w:pageBreakBefore w:val="0"/>
        <w:widowControl w:val="0"/>
        <w:kinsoku/>
        <w:wordWrap/>
        <w:overflowPunct/>
        <w:topLinePunct w:val="0"/>
        <w:autoSpaceDE/>
        <w:autoSpaceDN/>
        <w:bidi w:val="0"/>
        <w:adjustRightInd/>
        <w:snapToGrid/>
        <w:spacing w:line="300" w:lineRule="auto"/>
        <w:ind w:left="0" w:leftChars="0" w:firstLine="400" w:firstLineChars="200"/>
        <w:textAlignment w:val="auto"/>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kern w:val="0"/>
          <w:sz w:val="20"/>
          <w:szCs w:val="20"/>
          <w:highlight w:val="none"/>
        </w:rPr>
        <w:t>1）以“上海海事大学”为第一署名单位且研究生为第一作者，或者研究生为第二作者，且导师（含第二导师）是第一作者；</w:t>
      </w:r>
    </w:p>
    <w:p w14:paraId="3550482A">
      <w:pPr>
        <w:keepNext w:val="0"/>
        <w:keepLines w:val="0"/>
        <w:pageBreakBefore w:val="0"/>
        <w:widowControl w:val="0"/>
        <w:kinsoku/>
        <w:wordWrap/>
        <w:overflowPunct/>
        <w:topLinePunct w:val="0"/>
        <w:autoSpaceDE/>
        <w:autoSpaceDN/>
        <w:bidi w:val="0"/>
        <w:adjustRightInd/>
        <w:snapToGrid/>
        <w:spacing w:line="300" w:lineRule="auto"/>
        <w:ind w:left="0" w:leftChars="0" w:firstLine="400" w:firstLineChars="200"/>
        <w:textAlignment w:val="auto"/>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kern w:val="0"/>
          <w:sz w:val="20"/>
          <w:szCs w:val="20"/>
          <w:highlight w:val="none"/>
        </w:rPr>
        <w:t>2）所有成果须是20</w:t>
      </w:r>
      <w:r>
        <w:rPr>
          <w:rFonts w:hint="eastAsia" w:asciiTheme="minorEastAsia" w:hAnsiTheme="minorEastAsia" w:eastAsiaTheme="minorEastAsia" w:cstheme="minorEastAsia"/>
          <w:kern w:val="0"/>
          <w:sz w:val="20"/>
          <w:szCs w:val="20"/>
          <w:highlight w:val="none"/>
          <w:lang w:val="en-US" w:eastAsia="zh-CN"/>
        </w:rPr>
        <w:t>2</w:t>
      </w:r>
      <w:r>
        <w:rPr>
          <w:rFonts w:hint="eastAsia" w:asciiTheme="minorEastAsia" w:hAnsiTheme="minorEastAsia" w:cstheme="minorEastAsia"/>
          <w:kern w:val="0"/>
          <w:sz w:val="20"/>
          <w:szCs w:val="20"/>
          <w:highlight w:val="none"/>
          <w:lang w:val="en-US" w:eastAsia="zh-CN"/>
        </w:rPr>
        <w:t>5</w:t>
      </w:r>
      <w:r>
        <w:rPr>
          <w:rFonts w:hint="eastAsia" w:asciiTheme="minorEastAsia" w:hAnsiTheme="minorEastAsia" w:eastAsiaTheme="minorEastAsia" w:cstheme="minorEastAsia"/>
          <w:kern w:val="0"/>
          <w:sz w:val="20"/>
          <w:szCs w:val="20"/>
          <w:highlight w:val="none"/>
        </w:rPr>
        <w:t>年申请研究生</w:t>
      </w:r>
      <w:r>
        <w:rPr>
          <w:rFonts w:hint="eastAsia" w:asciiTheme="minorEastAsia" w:hAnsiTheme="minorEastAsia" w:cstheme="minorEastAsia"/>
          <w:kern w:val="0"/>
          <w:sz w:val="20"/>
          <w:szCs w:val="20"/>
          <w:highlight w:val="none"/>
          <w:lang w:val="en-US" w:eastAsia="zh-CN"/>
        </w:rPr>
        <w:t>学业</w:t>
      </w:r>
      <w:r>
        <w:rPr>
          <w:rFonts w:hint="eastAsia" w:asciiTheme="minorEastAsia" w:hAnsiTheme="minorEastAsia" w:eastAsiaTheme="minorEastAsia" w:cstheme="minorEastAsia"/>
          <w:kern w:val="0"/>
          <w:sz w:val="20"/>
          <w:szCs w:val="20"/>
          <w:highlight w:val="none"/>
        </w:rPr>
        <w:t>奖学金之日到今年研究生学业奖学金申请之日（凡是去年提交过的科研成果材料，均不能重复使用）；</w:t>
      </w:r>
    </w:p>
    <w:p w14:paraId="4552980F">
      <w:pPr>
        <w:keepNext w:val="0"/>
        <w:keepLines w:val="0"/>
        <w:pageBreakBefore w:val="0"/>
        <w:widowControl w:val="0"/>
        <w:kinsoku/>
        <w:wordWrap/>
        <w:overflowPunct/>
        <w:topLinePunct w:val="0"/>
        <w:autoSpaceDE/>
        <w:autoSpaceDN/>
        <w:bidi w:val="0"/>
        <w:adjustRightInd/>
        <w:snapToGrid/>
        <w:spacing w:line="300" w:lineRule="auto"/>
        <w:ind w:left="0" w:leftChars="0" w:firstLine="400" w:firstLineChars="200"/>
        <w:textAlignment w:val="auto"/>
        <w:rPr>
          <w:rFonts w:hint="eastAsia" w:asciiTheme="minorEastAsia" w:hAnsiTheme="minorEastAsia" w:eastAsiaTheme="minorEastAsia" w:cstheme="minorEastAsia"/>
          <w:b/>
          <w:sz w:val="20"/>
          <w:szCs w:val="20"/>
          <w:highlight w:val="none"/>
        </w:rPr>
      </w:pPr>
      <w:r>
        <w:rPr>
          <w:rFonts w:hint="eastAsia" w:asciiTheme="minorEastAsia" w:hAnsiTheme="minorEastAsia" w:eastAsiaTheme="minorEastAsia" w:cstheme="minorEastAsia"/>
          <w:kern w:val="0"/>
          <w:sz w:val="20"/>
          <w:szCs w:val="20"/>
          <w:highlight w:val="none"/>
        </w:rPr>
        <w:t>3）研究生取得的学术成果应与学位论文主要内容有相关性。</w:t>
      </w:r>
    </w:p>
    <w:p w14:paraId="04E56FDE">
      <w:pPr>
        <w:spacing w:line="360" w:lineRule="exact"/>
        <w:ind w:firstLine="422"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w:t>
      </w:r>
      <w:r>
        <w:rPr>
          <w:rFonts w:hint="eastAsia" w:ascii="宋体" w:hAnsi="宋体" w:cs="宋体"/>
          <w:b/>
          <w:bCs/>
          <w:color w:val="auto"/>
          <w:szCs w:val="21"/>
          <w:highlight w:val="none"/>
          <w:lang w:val="en-US" w:eastAsia="zh-CN"/>
        </w:rPr>
        <w:t>1</w:t>
      </w:r>
      <w:r>
        <w:rPr>
          <w:rFonts w:hint="eastAsia" w:ascii="宋体" w:hAnsi="宋体" w:cs="宋体"/>
          <w:b/>
          <w:bCs/>
          <w:color w:val="auto"/>
          <w:szCs w:val="21"/>
          <w:highlight w:val="none"/>
        </w:rPr>
        <w:t>）产教融合联合培养（单位：分/项）</w:t>
      </w:r>
    </w:p>
    <w:tbl>
      <w:tblPr>
        <w:tblStyle w:val="6"/>
        <w:tblW w:w="59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9"/>
        <w:gridCol w:w="3039"/>
        <w:gridCol w:w="1235"/>
      </w:tblGrid>
      <w:tr w14:paraId="4CAEE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1679" w:type="dxa"/>
            <w:noWrap w:val="0"/>
            <w:vAlign w:val="center"/>
          </w:tcPr>
          <w:p w14:paraId="79F7C930">
            <w:pPr>
              <w:tabs>
                <w:tab w:val="center" w:pos="4153"/>
                <w:tab w:val="right" w:pos="8306"/>
              </w:tabs>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成果种类</w:t>
            </w:r>
          </w:p>
        </w:tc>
        <w:tc>
          <w:tcPr>
            <w:tcW w:w="3039" w:type="dxa"/>
            <w:noWrap w:val="0"/>
            <w:vAlign w:val="center"/>
          </w:tcPr>
          <w:p w14:paraId="1E125D4F">
            <w:pPr>
              <w:tabs>
                <w:tab w:val="center" w:pos="4153"/>
                <w:tab w:val="right" w:pos="8306"/>
              </w:tabs>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产教融合联合培养考核结果</w:t>
            </w:r>
          </w:p>
        </w:tc>
        <w:tc>
          <w:tcPr>
            <w:tcW w:w="1235" w:type="dxa"/>
            <w:noWrap w:val="0"/>
            <w:vAlign w:val="center"/>
          </w:tcPr>
          <w:p w14:paraId="23750C61">
            <w:pPr>
              <w:tabs>
                <w:tab w:val="center" w:pos="4153"/>
                <w:tab w:val="right" w:pos="8306"/>
              </w:tabs>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标准分</w:t>
            </w:r>
          </w:p>
        </w:tc>
      </w:tr>
      <w:tr w14:paraId="6EDE2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1679" w:type="dxa"/>
            <w:vMerge w:val="restart"/>
            <w:noWrap w:val="0"/>
            <w:vAlign w:val="center"/>
          </w:tcPr>
          <w:p w14:paraId="43C80B2C">
            <w:pPr>
              <w:tabs>
                <w:tab w:val="center" w:pos="4153"/>
                <w:tab w:val="right" w:pos="8306"/>
              </w:tabs>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产教融合研究生联合培养</w:t>
            </w:r>
          </w:p>
        </w:tc>
        <w:tc>
          <w:tcPr>
            <w:tcW w:w="3039" w:type="dxa"/>
            <w:noWrap w:val="0"/>
            <w:vAlign w:val="center"/>
          </w:tcPr>
          <w:p w14:paraId="32F52D5D">
            <w:pPr>
              <w:tabs>
                <w:tab w:val="center" w:pos="4153"/>
                <w:tab w:val="right" w:pos="8306"/>
              </w:tabs>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优秀</w:t>
            </w:r>
          </w:p>
        </w:tc>
        <w:tc>
          <w:tcPr>
            <w:tcW w:w="1235" w:type="dxa"/>
            <w:noWrap w:val="0"/>
            <w:vAlign w:val="center"/>
          </w:tcPr>
          <w:p w14:paraId="2CA94B7C">
            <w:pPr>
              <w:tabs>
                <w:tab w:val="center" w:pos="4153"/>
                <w:tab w:val="right" w:pos="8306"/>
              </w:tabs>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w:t>
            </w:r>
          </w:p>
        </w:tc>
      </w:tr>
      <w:tr w14:paraId="300D4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679" w:type="dxa"/>
            <w:vMerge w:val="continue"/>
            <w:noWrap w:val="0"/>
            <w:vAlign w:val="center"/>
          </w:tcPr>
          <w:p w14:paraId="17220A35">
            <w:pPr>
              <w:tabs>
                <w:tab w:val="center" w:pos="4153"/>
                <w:tab w:val="right" w:pos="8306"/>
              </w:tabs>
              <w:jc w:val="center"/>
              <w:rPr>
                <w:rFonts w:hint="eastAsia" w:ascii="宋体" w:hAnsi="宋体" w:eastAsia="宋体" w:cs="宋体"/>
                <w:color w:val="auto"/>
                <w:sz w:val="20"/>
                <w:szCs w:val="20"/>
                <w:highlight w:val="none"/>
              </w:rPr>
            </w:pPr>
          </w:p>
        </w:tc>
        <w:tc>
          <w:tcPr>
            <w:tcW w:w="3039" w:type="dxa"/>
            <w:noWrap w:val="0"/>
            <w:vAlign w:val="center"/>
          </w:tcPr>
          <w:p w14:paraId="6A01716C">
            <w:pPr>
              <w:tabs>
                <w:tab w:val="center" w:pos="4153"/>
                <w:tab w:val="right" w:pos="8306"/>
              </w:tabs>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良好</w:t>
            </w:r>
          </w:p>
        </w:tc>
        <w:tc>
          <w:tcPr>
            <w:tcW w:w="1235" w:type="dxa"/>
            <w:noWrap w:val="0"/>
            <w:vAlign w:val="center"/>
          </w:tcPr>
          <w:p w14:paraId="246FB3F2">
            <w:pPr>
              <w:tabs>
                <w:tab w:val="center" w:pos="4153"/>
                <w:tab w:val="right" w:pos="8306"/>
              </w:tabs>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r>
      <w:tr w14:paraId="7B9A6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679" w:type="dxa"/>
            <w:vMerge w:val="continue"/>
            <w:noWrap w:val="0"/>
            <w:vAlign w:val="center"/>
          </w:tcPr>
          <w:p w14:paraId="7A670E1F">
            <w:pPr>
              <w:tabs>
                <w:tab w:val="center" w:pos="4153"/>
                <w:tab w:val="right" w:pos="8306"/>
              </w:tabs>
              <w:jc w:val="center"/>
              <w:rPr>
                <w:rFonts w:hint="eastAsia" w:ascii="宋体" w:hAnsi="宋体" w:eastAsia="宋体" w:cs="宋体"/>
                <w:color w:val="auto"/>
                <w:sz w:val="20"/>
                <w:szCs w:val="20"/>
                <w:highlight w:val="none"/>
              </w:rPr>
            </w:pPr>
          </w:p>
        </w:tc>
        <w:tc>
          <w:tcPr>
            <w:tcW w:w="3039" w:type="dxa"/>
            <w:noWrap w:val="0"/>
            <w:vAlign w:val="center"/>
          </w:tcPr>
          <w:p w14:paraId="79305955">
            <w:pPr>
              <w:tabs>
                <w:tab w:val="center" w:pos="4153"/>
                <w:tab w:val="right" w:pos="8306"/>
              </w:tabs>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合格</w:t>
            </w:r>
          </w:p>
        </w:tc>
        <w:tc>
          <w:tcPr>
            <w:tcW w:w="1235" w:type="dxa"/>
            <w:noWrap w:val="0"/>
            <w:vAlign w:val="center"/>
          </w:tcPr>
          <w:p w14:paraId="688CADA5">
            <w:pPr>
              <w:tabs>
                <w:tab w:val="center" w:pos="4153"/>
                <w:tab w:val="right" w:pos="8306"/>
              </w:tabs>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w:t>
            </w:r>
          </w:p>
        </w:tc>
      </w:tr>
    </w:tbl>
    <w:p w14:paraId="4B39B6DB">
      <w:pPr>
        <w:keepNext w:val="0"/>
        <w:keepLines w:val="0"/>
        <w:pageBreakBefore w:val="0"/>
        <w:widowControl w:val="0"/>
        <w:kinsoku/>
        <w:wordWrap/>
        <w:overflowPunct/>
        <w:topLinePunct w:val="0"/>
        <w:autoSpaceDE/>
        <w:autoSpaceDN/>
        <w:bidi w:val="0"/>
        <w:adjustRightInd/>
        <w:snapToGrid/>
        <w:spacing w:line="300" w:lineRule="auto"/>
        <w:ind w:left="0" w:leftChars="0" w:firstLine="400" w:firstLineChars="200"/>
        <w:textAlignment w:val="auto"/>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kern w:val="0"/>
          <w:sz w:val="20"/>
          <w:szCs w:val="20"/>
          <w:highlight w:val="none"/>
        </w:rPr>
        <w:t>说明：</w:t>
      </w:r>
    </w:p>
    <w:p w14:paraId="4262363B">
      <w:pPr>
        <w:keepNext w:val="0"/>
        <w:keepLines w:val="0"/>
        <w:pageBreakBefore w:val="0"/>
        <w:widowControl w:val="0"/>
        <w:kinsoku/>
        <w:wordWrap/>
        <w:overflowPunct/>
        <w:topLinePunct w:val="0"/>
        <w:autoSpaceDE/>
        <w:autoSpaceDN/>
        <w:bidi w:val="0"/>
        <w:adjustRightInd/>
        <w:snapToGrid/>
        <w:spacing w:line="300" w:lineRule="auto"/>
        <w:ind w:left="0" w:leftChars="0" w:firstLine="400" w:firstLineChars="200"/>
        <w:textAlignment w:val="auto"/>
        <w:rPr>
          <w:rFonts w:hint="eastAsia" w:asciiTheme="minorEastAsia" w:hAnsiTheme="minorEastAsia" w:eastAsiaTheme="minorEastAsia" w:cstheme="minorEastAsia"/>
          <w:kern w:val="0"/>
          <w:sz w:val="20"/>
          <w:szCs w:val="20"/>
          <w:highlight w:val="none"/>
        </w:rPr>
      </w:pPr>
      <w:r>
        <w:rPr>
          <w:rFonts w:hint="eastAsia" w:asciiTheme="minorEastAsia" w:hAnsiTheme="minorEastAsia" w:cstheme="minorEastAsia"/>
          <w:kern w:val="0"/>
          <w:sz w:val="20"/>
          <w:szCs w:val="20"/>
          <w:highlight w:val="none"/>
          <w:lang w:val="en-US" w:eastAsia="zh-CN"/>
        </w:rPr>
        <w:t>具体</w:t>
      </w:r>
      <w:r>
        <w:rPr>
          <w:rFonts w:hint="eastAsia" w:asciiTheme="minorEastAsia" w:hAnsiTheme="minorEastAsia" w:eastAsiaTheme="minorEastAsia" w:cstheme="minorEastAsia"/>
          <w:kern w:val="0"/>
          <w:sz w:val="20"/>
          <w:szCs w:val="20"/>
          <w:highlight w:val="none"/>
        </w:rPr>
        <w:t>见《上海海事大学产教融合研究生联合培养实施办法》，研究生经学校和产教融合研究生联合培养基地选拔，参加深度产教融合联合培养且通过考核。</w:t>
      </w:r>
    </w:p>
    <w:p w14:paraId="2AA24538">
      <w:pPr>
        <w:spacing w:line="360" w:lineRule="exact"/>
        <w:ind w:firstLine="420" w:firstLineChars="200"/>
        <w:rPr>
          <w:rFonts w:hint="eastAsia" w:ascii="宋体" w:hAnsi="宋体" w:cs="宋体"/>
          <w:color w:val="auto"/>
          <w:szCs w:val="21"/>
          <w:highlight w:val="none"/>
        </w:rPr>
      </w:pPr>
    </w:p>
    <w:p w14:paraId="64FD01FA">
      <w:pPr>
        <w:spacing w:line="360" w:lineRule="exact"/>
        <w:ind w:firstLine="422"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w:t>
      </w:r>
      <w:r>
        <w:rPr>
          <w:rFonts w:hint="eastAsia" w:ascii="宋体" w:hAnsi="宋体" w:cs="宋体"/>
          <w:b/>
          <w:bCs/>
          <w:color w:val="auto"/>
          <w:szCs w:val="21"/>
          <w:highlight w:val="none"/>
          <w:lang w:val="en-US" w:eastAsia="zh-CN"/>
        </w:rPr>
        <w:t>2</w:t>
      </w:r>
      <w:r>
        <w:rPr>
          <w:rFonts w:hint="eastAsia" w:ascii="宋体" w:hAnsi="宋体" w:cs="宋体"/>
          <w:b/>
          <w:bCs/>
          <w:color w:val="auto"/>
          <w:szCs w:val="21"/>
          <w:highlight w:val="none"/>
        </w:rPr>
        <w:t>)知识产权计分标准（单位：分/项）</w:t>
      </w:r>
    </w:p>
    <w:tbl>
      <w:tblPr>
        <w:tblStyle w:val="6"/>
        <w:tblW w:w="58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0"/>
        <w:gridCol w:w="2384"/>
        <w:gridCol w:w="1215"/>
        <w:gridCol w:w="1185"/>
      </w:tblGrid>
      <w:tr w14:paraId="288C3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1020" w:type="dxa"/>
            <w:noWrap w:val="0"/>
            <w:vAlign w:val="center"/>
          </w:tcPr>
          <w:p w14:paraId="6DDAE779">
            <w:pPr>
              <w:tabs>
                <w:tab w:val="center" w:pos="4153"/>
                <w:tab w:val="right" w:pos="8306"/>
              </w:tabs>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成果种类</w:t>
            </w:r>
          </w:p>
        </w:tc>
        <w:tc>
          <w:tcPr>
            <w:tcW w:w="2384" w:type="dxa"/>
            <w:noWrap w:val="0"/>
            <w:vAlign w:val="center"/>
          </w:tcPr>
          <w:p w14:paraId="6122D929">
            <w:pPr>
              <w:tabs>
                <w:tab w:val="center" w:pos="4153"/>
                <w:tab w:val="right" w:pos="8306"/>
              </w:tabs>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成果范畴</w:t>
            </w:r>
          </w:p>
        </w:tc>
        <w:tc>
          <w:tcPr>
            <w:tcW w:w="1215" w:type="dxa"/>
            <w:noWrap w:val="0"/>
            <w:vAlign w:val="center"/>
          </w:tcPr>
          <w:p w14:paraId="4D083420">
            <w:pPr>
              <w:tabs>
                <w:tab w:val="center" w:pos="4153"/>
                <w:tab w:val="right" w:pos="8306"/>
              </w:tabs>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排名1</w:t>
            </w:r>
          </w:p>
        </w:tc>
        <w:tc>
          <w:tcPr>
            <w:tcW w:w="1185" w:type="dxa"/>
            <w:noWrap w:val="0"/>
            <w:vAlign w:val="center"/>
          </w:tcPr>
          <w:p w14:paraId="1F83143F">
            <w:pPr>
              <w:tabs>
                <w:tab w:val="center" w:pos="4153"/>
                <w:tab w:val="right" w:pos="8306"/>
              </w:tabs>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排名2</w:t>
            </w:r>
          </w:p>
        </w:tc>
      </w:tr>
      <w:tr w14:paraId="215D8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1020" w:type="dxa"/>
            <w:vMerge w:val="restart"/>
            <w:noWrap w:val="0"/>
            <w:vAlign w:val="center"/>
          </w:tcPr>
          <w:p w14:paraId="69F8B19D">
            <w:pPr>
              <w:tabs>
                <w:tab w:val="center" w:pos="4153"/>
                <w:tab w:val="right" w:pos="8306"/>
              </w:tabs>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知识产权</w:t>
            </w:r>
          </w:p>
        </w:tc>
        <w:tc>
          <w:tcPr>
            <w:tcW w:w="2384" w:type="dxa"/>
            <w:noWrap w:val="0"/>
            <w:vAlign w:val="center"/>
          </w:tcPr>
          <w:p w14:paraId="0414CD66">
            <w:pPr>
              <w:tabs>
                <w:tab w:val="center" w:pos="4153"/>
                <w:tab w:val="right" w:pos="8306"/>
              </w:tabs>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国际发明专利（授权）</w:t>
            </w:r>
          </w:p>
        </w:tc>
        <w:tc>
          <w:tcPr>
            <w:tcW w:w="1215" w:type="dxa"/>
            <w:noWrap w:val="0"/>
            <w:vAlign w:val="center"/>
          </w:tcPr>
          <w:p w14:paraId="7D68CE0B">
            <w:pPr>
              <w:tabs>
                <w:tab w:val="center" w:pos="4153"/>
                <w:tab w:val="right" w:pos="8306"/>
              </w:tabs>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18</w:t>
            </w:r>
          </w:p>
        </w:tc>
        <w:tc>
          <w:tcPr>
            <w:tcW w:w="1185" w:type="dxa"/>
            <w:noWrap w:val="0"/>
            <w:vAlign w:val="center"/>
          </w:tcPr>
          <w:p w14:paraId="437EEF2E">
            <w:pPr>
              <w:tabs>
                <w:tab w:val="center" w:pos="4153"/>
                <w:tab w:val="right" w:pos="8306"/>
              </w:tabs>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9</w:t>
            </w:r>
          </w:p>
        </w:tc>
      </w:tr>
      <w:tr w14:paraId="00DB6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020" w:type="dxa"/>
            <w:vMerge w:val="continue"/>
            <w:noWrap w:val="0"/>
            <w:vAlign w:val="top"/>
          </w:tcPr>
          <w:p w14:paraId="6C1C87A1">
            <w:pPr>
              <w:tabs>
                <w:tab w:val="center" w:pos="4153"/>
                <w:tab w:val="right" w:pos="8306"/>
              </w:tabs>
              <w:rPr>
                <w:rFonts w:hint="eastAsia" w:ascii="宋体" w:hAnsi="宋体" w:eastAsia="宋体" w:cs="宋体"/>
                <w:color w:val="auto"/>
                <w:sz w:val="20"/>
                <w:szCs w:val="20"/>
                <w:highlight w:val="none"/>
              </w:rPr>
            </w:pPr>
          </w:p>
        </w:tc>
        <w:tc>
          <w:tcPr>
            <w:tcW w:w="2384" w:type="dxa"/>
            <w:noWrap w:val="0"/>
            <w:vAlign w:val="center"/>
          </w:tcPr>
          <w:p w14:paraId="6D29AE63">
            <w:pPr>
              <w:tabs>
                <w:tab w:val="center" w:pos="4153"/>
                <w:tab w:val="right" w:pos="8306"/>
              </w:tabs>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国际发明专利（申请）</w:t>
            </w:r>
          </w:p>
        </w:tc>
        <w:tc>
          <w:tcPr>
            <w:tcW w:w="1215" w:type="dxa"/>
            <w:noWrap w:val="0"/>
            <w:vAlign w:val="center"/>
          </w:tcPr>
          <w:p w14:paraId="2073452F">
            <w:pPr>
              <w:tabs>
                <w:tab w:val="center" w:pos="4153"/>
                <w:tab w:val="right" w:pos="8306"/>
              </w:tabs>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1185" w:type="dxa"/>
            <w:noWrap w:val="0"/>
            <w:vAlign w:val="center"/>
          </w:tcPr>
          <w:p w14:paraId="0FDB308D">
            <w:pPr>
              <w:tabs>
                <w:tab w:val="center" w:pos="4153"/>
                <w:tab w:val="right" w:pos="8306"/>
              </w:tabs>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r>
      <w:tr w14:paraId="3C011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020" w:type="dxa"/>
            <w:vMerge w:val="continue"/>
            <w:noWrap w:val="0"/>
            <w:vAlign w:val="top"/>
          </w:tcPr>
          <w:p w14:paraId="265086D0">
            <w:pPr>
              <w:tabs>
                <w:tab w:val="center" w:pos="4153"/>
                <w:tab w:val="right" w:pos="8306"/>
              </w:tabs>
              <w:rPr>
                <w:rFonts w:hint="eastAsia" w:ascii="宋体" w:hAnsi="宋体" w:eastAsia="宋体" w:cs="宋体"/>
                <w:color w:val="auto"/>
                <w:sz w:val="20"/>
                <w:szCs w:val="20"/>
                <w:highlight w:val="none"/>
              </w:rPr>
            </w:pPr>
          </w:p>
        </w:tc>
        <w:tc>
          <w:tcPr>
            <w:tcW w:w="2384" w:type="dxa"/>
            <w:noWrap w:val="0"/>
            <w:vAlign w:val="center"/>
          </w:tcPr>
          <w:p w14:paraId="767FCE2F">
            <w:pPr>
              <w:tabs>
                <w:tab w:val="center" w:pos="4153"/>
                <w:tab w:val="right" w:pos="8306"/>
              </w:tabs>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国内发明专利（授权）</w:t>
            </w:r>
          </w:p>
        </w:tc>
        <w:tc>
          <w:tcPr>
            <w:tcW w:w="1215" w:type="dxa"/>
            <w:noWrap w:val="0"/>
            <w:vAlign w:val="center"/>
          </w:tcPr>
          <w:p w14:paraId="5C453A8C">
            <w:pPr>
              <w:tabs>
                <w:tab w:val="center" w:pos="4153"/>
                <w:tab w:val="right" w:pos="8306"/>
              </w:tabs>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12</w:t>
            </w:r>
          </w:p>
        </w:tc>
        <w:tc>
          <w:tcPr>
            <w:tcW w:w="1185" w:type="dxa"/>
            <w:noWrap w:val="0"/>
            <w:vAlign w:val="center"/>
          </w:tcPr>
          <w:p w14:paraId="2602A9CF">
            <w:pPr>
              <w:tabs>
                <w:tab w:val="center" w:pos="4153"/>
                <w:tab w:val="right" w:pos="8306"/>
              </w:tabs>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r>
    </w:tbl>
    <w:p w14:paraId="33233108">
      <w:pPr>
        <w:keepNext w:val="0"/>
        <w:keepLines w:val="0"/>
        <w:pageBreakBefore w:val="0"/>
        <w:kinsoku/>
        <w:wordWrap/>
        <w:overflowPunct/>
        <w:topLinePunct w:val="0"/>
        <w:autoSpaceDE/>
        <w:autoSpaceDN/>
        <w:bidi w:val="0"/>
        <w:adjustRightInd/>
        <w:snapToGrid/>
        <w:spacing w:line="300" w:lineRule="auto"/>
        <w:ind w:left="0" w:leftChars="0" w:firstLine="400" w:firstLineChars="200"/>
        <w:textAlignment w:val="auto"/>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kern w:val="0"/>
          <w:sz w:val="20"/>
          <w:szCs w:val="20"/>
          <w:highlight w:val="none"/>
        </w:rPr>
        <w:t>说明：</w:t>
      </w:r>
    </w:p>
    <w:p w14:paraId="211EACFA">
      <w:pPr>
        <w:keepNext w:val="0"/>
        <w:keepLines w:val="0"/>
        <w:pageBreakBefore w:val="0"/>
        <w:kinsoku/>
        <w:wordWrap/>
        <w:overflowPunct/>
        <w:topLinePunct w:val="0"/>
        <w:autoSpaceDE/>
        <w:autoSpaceDN/>
        <w:bidi w:val="0"/>
        <w:adjustRightInd/>
        <w:snapToGrid/>
        <w:spacing w:line="300" w:lineRule="auto"/>
        <w:ind w:left="0" w:leftChars="0" w:firstLine="400" w:firstLineChars="200"/>
        <w:textAlignment w:val="auto"/>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kern w:val="0"/>
          <w:sz w:val="20"/>
          <w:szCs w:val="20"/>
          <w:highlight w:val="none"/>
          <w:lang w:val="en-US" w:eastAsia="zh-CN"/>
        </w:rPr>
        <w:t>①</w:t>
      </w:r>
      <w:r>
        <w:rPr>
          <w:rFonts w:hint="eastAsia" w:asciiTheme="minorEastAsia" w:hAnsiTheme="minorEastAsia" w:eastAsiaTheme="minorEastAsia" w:cstheme="minorEastAsia"/>
          <w:kern w:val="0"/>
          <w:sz w:val="20"/>
          <w:szCs w:val="20"/>
          <w:highlight w:val="none"/>
        </w:rPr>
        <w:t>均系以“上海海事大学”为第一专利权人的专利，以其他单位或以个人为专利权人的不计分。</w:t>
      </w:r>
    </w:p>
    <w:p w14:paraId="6562A11F">
      <w:pPr>
        <w:keepNext w:val="0"/>
        <w:keepLines w:val="0"/>
        <w:pageBreakBefore w:val="0"/>
        <w:kinsoku/>
        <w:wordWrap/>
        <w:overflowPunct/>
        <w:topLinePunct w:val="0"/>
        <w:autoSpaceDE/>
        <w:autoSpaceDN/>
        <w:bidi w:val="0"/>
        <w:adjustRightInd/>
        <w:snapToGrid/>
        <w:spacing w:line="300" w:lineRule="auto"/>
        <w:ind w:left="0" w:leftChars="0" w:firstLine="400" w:firstLineChars="200"/>
        <w:textAlignment w:val="auto"/>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kern w:val="0"/>
          <w:sz w:val="20"/>
          <w:szCs w:val="20"/>
          <w:highlight w:val="none"/>
          <w:lang w:val="en-US" w:eastAsia="zh-CN"/>
        </w:rPr>
        <w:t>②</w:t>
      </w:r>
      <w:r>
        <w:rPr>
          <w:rFonts w:hint="eastAsia" w:asciiTheme="minorEastAsia" w:hAnsiTheme="minorEastAsia" w:eastAsiaTheme="minorEastAsia" w:cstheme="minorEastAsia"/>
          <w:kern w:val="0"/>
          <w:sz w:val="20"/>
          <w:szCs w:val="20"/>
          <w:highlight w:val="none"/>
        </w:rPr>
        <w:t>知识产权只计排名前两位的分值。若为个人项目，则享受该成果排名第一的分值；若为合作项目，研究生为第二作者，但其导师（含第二导师）为第一作者，则享受该成果第一作者得分，如与其他人合作，该研究生获得其相应排名得分。</w:t>
      </w:r>
    </w:p>
    <w:p w14:paraId="4E755444">
      <w:pPr>
        <w:keepNext w:val="0"/>
        <w:keepLines w:val="0"/>
        <w:pageBreakBefore w:val="0"/>
        <w:kinsoku/>
        <w:wordWrap/>
        <w:overflowPunct/>
        <w:topLinePunct w:val="0"/>
        <w:autoSpaceDE/>
        <w:autoSpaceDN/>
        <w:bidi w:val="0"/>
        <w:adjustRightInd/>
        <w:snapToGrid/>
        <w:spacing w:line="300" w:lineRule="auto"/>
        <w:ind w:left="0" w:leftChars="0" w:firstLine="400" w:firstLineChars="200"/>
        <w:textAlignment w:val="auto"/>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kern w:val="0"/>
          <w:sz w:val="20"/>
          <w:szCs w:val="20"/>
          <w:highlight w:val="none"/>
          <w:lang w:val="en-US" w:eastAsia="zh-CN"/>
        </w:rPr>
        <w:t>③</w:t>
      </w:r>
      <w:r>
        <w:rPr>
          <w:rFonts w:hint="eastAsia" w:asciiTheme="minorEastAsia" w:hAnsiTheme="minorEastAsia" w:eastAsiaTheme="minorEastAsia" w:cstheme="minorEastAsia"/>
          <w:kern w:val="0"/>
          <w:sz w:val="20"/>
          <w:szCs w:val="20"/>
          <w:highlight w:val="none"/>
        </w:rPr>
        <w:t>列入统计范围的知识产权必须符合《上海海事大学研究生专利申请流程及注意事项》（详见数字平台-科技处-工作资料），且由研究生提供相应的证书原件及复印件。</w:t>
      </w:r>
    </w:p>
    <w:p w14:paraId="707A3BB4">
      <w:pPr>
        <w:spacing w:line="360" w:lineRule="exact"/>
        <w:ind w:firstLine="420" w:firstLineChars="200"/>
        <w:rPr>
          <w:rFonts w:hint="eastAsia" w:ascii="宋体" w:hAnsi="宋体" w:cs="宋体"/>
          <w:color w:val="auto"/>
          <w:szCs w:val="21"/>
          <w:highlight w:val="none"/>
        </w:rPr>
      </w:pPr>
    </w:p>
    <w:p w14:paraId="702BE3FE">
      <w:pPr>
        <w:spacing w:line="360" w:lineRule="exact"/>
        <w:ind w:firstLine="422"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w:t>
      </w:r>
      <w:r>
        <w:rPr>
          <w:rFonts w:hint="eastAsia" w:ascii="宋体" w:hAnsi="宋体" w:cs="宋体"/>
          <w:b/>
          <w:bCs/>
          <w:color w:val="auto"/>
          <w:szCs w:val="21"/>
          <w:highlight w:val="none"/>
          <w:lang w:val="en-US" w:eastAsia="zh-CN"/>
        </w:rPr>
        <w:t>3</w:t>
      </w:r>
      <w:r>
        <w:rPr>
          <w:rFonts w:hint="eastAsia" w:ascii="宋体" w:hAnsi="宋体" w:cs="宋体"/>
          <w:b/>
          <w:bCs/>
          <w:color w:val="auto"/>
          <w:szCs w:val="21"/>
          <w:highlight w:val="none"/>
        </w:rPr>
        <w:t>）著作计分标准（单位：分/5万字）</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3"/>
        <w:gridCol w:w="3867"/>
        <w:gridCol w:w="1134"/>
      </w:tblGrid>
      <w:tr w14:paraId="629CC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1113" w:type="dxa"/>
            <w:noWrap w:val="0"/>
            <w:vAlign w:val="top"/>
          </w:tcPr>
          <w:p w14:paraId="678F349E">
            <w:pPr>
              <w:tabs>
                <w:tab w:val="center" w:pos="4153"/>
                <w:tab w:val="right" w:pos="8306"/>
              </w:tabs>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成果种类</w:t>
            </w:r>
          </w:p>
        </w:tc>
        <w:tc>
          <w:tcPr>
            <w:tcW w:w="3867" w:type="dxa"/>
            <w:noWrap w:val="0"/>
            <w:vAlign w:val="top"/>
          </w:tcPr>
          <w:p w14:paraId="49066B6B">
            <w:pPr>
              <w:tabs>
                <w:tab w:val="center" w:pos="4153"/>
                <w:tab w:val="right" w:pos="8306"/>
              </w:tabs>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成果范畴</w:t>
            </w:r>
          </w:p>
        </w:tc>
        <w:tc>
          <w:tcPr>
            <w:tcW w:w="1134" w:type="dxa"/>
            <w:noWrap w:val="0"/>
            <w:vAlign w:val="top"/>
          </w:tcPr>
          <w:p w14:paraId="764A9575">
            <w:pPr>
              <w:tabs>
                <w:tab w:val="center" w:pos="4153"/>
                <w:tab w:val="right" w:pos="8306"/>
              </w:tabs>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标准分</w:t>
            </w:r>
          </w:p>
        </w:tc>
      </w:tr>
      <w:tr w14:paraId="14214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13" w:type="dxa"/>
            <w:vMerge w:val="restart"/>
            <w:noWrap w:val="0"/>
            <w:vAlign w:val="center"/>
          </w:tcPr>
          <w:p w14:paraId="4A2D00FA">
            <w:pPr>
              <w:tabs>
                <w:tab w:val="center" w:pos="4153"/>
                <w:tab w:val="right" w:pos="8306"/>
              </w:tabs>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著作</w:t>
            </w:r>
          </w:p>
        </w:tc>
        <w:tc>
          <w:tcPr>
            <w:tcW w:w="3867" w:type="dxa"/>
            <w:noWrap w:val="0"/>
            <w:vAlign w:val="top"/>
          </w:tcPr>
          <w:p w14:paraId="5FBBF1B3">
            <w:pPr>
              <w:tabs>
                <w:tab w:val="center" w:pos="4153"/>
                <w:tab w:val="right" w:pos="8306"/>
              </w:tabs>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学术著作（专著）</w:t>
            </w:r>
          </w:p>
        </w:tc>
        <w:tc>
          <w:tcPr>
            <w:tcW w:w="1134" w:type="dxa"/>
            <w:noWrap w:val="0"/>
            <w:vAlign w:val="top"/>
          </w:tcPr>
          <w:p w14:paraId="38E5A9A6">
            <w:pPr>
              <w:tabs>
                <w:tab w:val="center" w:pos="4153"/>
                <w:tab w:val="right" w:pos="8306"/>
              </w:tabs>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w:t>
            </w:r>
          </w:p>
        </w:tc>
      </w:tr>
      <w:tr w14:paraId="66DCA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13" w:type="dxa"/>
            <w:vMerge w:val="continue"/>
            <w:noWrap w:val="0"/>
            <w:vAlign w:val="top"/>
          </w:tcPr>
          <w:p w14:paraId="555DA5C2">
            <w:pPr>
              <w:tabs>
                <w:tab w:val="center" w:pos="4153"/>
                <w:tab w:val="right" w:pos="8306"/>
              </w:tabs>
              <w:rPr>
                <w:rFonts w:hint="eastAsia" w:ascii="宋体" w:hAnsi="宋体" w:eastAsia="宋体" w:cs="宋体"/>
                <w:color w:val="auto"/>
                <w:sz w:val="20"/>
                <w:szCs w:val="20"/>
                <w:highlight w:val="none"/>
              </w:rPr>
            </w:pPr>
          </w:p>
        </w:tc>
        <w:tc>
          <w:tcPr>
            <w:tcW w:w="3867" w:type="dxa"/>
            <w:noWrap w:val="0"/>
            <w:vAlign w:val="top"/>
          </w:tcPr>
          <w:p w14:paraId="5034045A">
            <w:pPr>
              <w:tabs>
                <w:tab w:val="center" w:pos="4153"/>
                <w:tab w:val="right" w:pos="8306"/>
              </w:tabs>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学术著作（编著、译著）</w:t>
            </w:r>
          </w:p>
        </w:tc>
        <w:tc>
          <w:tcPr>
            <w:tcW w:w="1134" w:type="dxa"/>
            <w:noWrap w:val="0"/>
            <w:vAlign w:val="top"/>
          </w:tcPr>
          <w:p w14:paraId="46502B0C">
            <w:pPr>
              <w:tabs>
                <w:tab w:val="center" w:pos="4153"/>
                <w:tab w:val="right" w:pos="8306"/>
              </w:tabs>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r>
      <w:tr w14:paraId="0F318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113" w:type="dxa"/>
            <w:vMerge w:val="continue"/>
            <w:noWrap w:val="0"/>
            <w:vAlign w:val="top"/>
          </w:tcPr>
          <w:p w14:paraId="474DF717">
            <w:pPr>
              <w:tabs>
                <w:tab w:val="center" w:pos="4153"/>
                <w:tab w:val="right" w:pos="8306"/>
              </w:tabs>
              <w:rPr>
                <w:rFonts w:hint="eastAsia" w:ascii="宋体" w:hAnsi="宋体" w:eastAsia="宋体" w:cs="宋体"/>
                <w:color w:val="auto"/>
                <w:sz w:val="20"/>
                <w:szCs w:val="20"/>
                <w:highlight w:val="none"/>
              </w:rPr>
            </w:pPr>
          </w:p>
        </w:tc>
        <w:tc>
          <w:tcPr>
            <w:tcW w:w="3867" w:type="dxa"/>
            <w:noWrap w:val="0"/>
            <w:vAlign w:val="top"/>
          </w:tcPr>
          <w:p w14:paraId="4C5DC9AD">
            <w:pPr>
              <w:tabs>
                <w:tab w:val="center" w:pos="4153"/>
                <w:tab w:val="right" w:pos="8306"/>
              </w:tabs>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非教材其他出版物（主编、编译、编写等）</w:t>
            </w:r>
          </w:p>
        </w:tc>
        <w:tc>
          <w:tcPr>
            <w:tcW w:w="1134" w:type="dxa"/>
            <w:noWrap w:val="0"/>
            <w:vAlign w:val="top"/>
          </w:tcPr>
          <w:p w14:paraId="0141DD69">
            <w:pPr>
              <w:tabs>
                <w:tab w:val="center" w:pos="4153"/>
                <w:tab w:val="right" w:pos="8306"/>
              </w:tabs>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r>
    </w:tbl>
    <w:p w14:paraId="54497C4E">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说明：</w:t>
      </w:r>
    </w:p>
    <w:p w14:paraId="0DECA097">
      <w:pPr>
        <w:keepNext w:val="0"/>
        <w:keepLines w:val="0"/>
        <w:pageBreakBefore w:val="0"/>
        <w:kinsoku/>
        <w:wordWrap/>
        <w:overflowPunct/>
        <w:topLinePunct w:val="0"/>
        <w:autoSpaceDE/>
        <w:autoSpaceDN/>
        <w:bidi w:val="0"/>
        <w:adjustRightInd/>
        <w:snapToGrid/>
        <w:spacing w:line="300" w:lineRule="auto"/>
        <w:ind w:left="0" w:leftChars="0" w:firstLine="400" w:firstLineChars="200"/>
        <w:textAlignment w:val="auto"/>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kern w:val="0"/>
          <w:sz w:val="20"/>
          <w:szCs w:val="20"/>
          <w:highlight w:val="none"/>
          <w:lang w:val="en-US" w:eastAsia="zh-CN"/>
        </w:rPr>
        <w:t>①</w:t>
      </w:r>
      <w:r>
        <w:rPr>
          <w:rFonts w:hint="eastAsia" w:asciiTheme="minorEastAsia" w:hAnsiTheme="minorEastAsia" w:eastAsiaTheme="minorEastAsia" w:cstheme="minorEastAsia"/>
          <w:kern w:val="0"/>
          <w:sz w:val="20"/>
          <w:szCs w:val="20"/>
          <w:highlight w:val="none"/>
        </w:rPr>
        <w:t>著作类成果的具体认定标准参见《上海海事大学科技工作量计算办法》（科字〔2020〕3号）；研究生个人完成字数不足5万字，或有其它异议，由各学位评定分委员会裁定。</w:t>
      </w:r>
    </w:p>
    <w:p w14:paraId="4564CB5C">
      <w:pPr>
        <w:keepNext w:val="0"/>
        <w:keepLines w:val="0"/>
        <w:pageBreakBefore w:val="0"/>
        <w:kinsoku/>
        <w:wordWrap/>
        <w:overflowPunct/>
        <w:topLinePunct w:val="0"/>
        <w:autoSpaceDE/>
        <w:autoSpaceDN/>
        <w:bidi w:val="0"/>
        <w:adjustRightInd/>
        <w:snapToGrid/>
        <w:spacing w:line="300" w:lineRule="auto"/>
        <w:ind w:left="0" w:leftChars="0" w:firstLine="400" w:firstLineChars="200"/>
        <w:textAlignment w:val="auto"/>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kern w:val="0"/>
          <w:sz w:val="20"/>
          <w:szCs w:val="20"/>
          <w:highlight w:val="none"/>
          <w:lang w:val="en-US" w:eastAsia="zh-CN"/>
        </w:rPr>
        <w:t>②</w:t>
      </w:r>
      <w:r>
        <w:rPr>
          <w:rFonts w:hint="eastAsia" w:asciiTheme="minorEastAsia" w:hAnsiTheme="minorEastAsia" w:eastAsiaTheme="minorEastAsia" w:cstheme="minorEastAsia"/>
          <w:kern w:val="0"/>
          <w:sz w:val="20"/>
          <w:szCs w:val="20"/>
          <w:highlight w:val="none"/>
        </w:rPr>
        <w:t>须提供出版物封面、目录复印件等相关证明材料。</w:t>
      </w:r>
    </w:p>
    <w:p w14:paraId="18E2DCE5">
      <w:pPr>
        <w:spacing w:line="360" w:lineRule="exact"/>
        <w:ind w:firstLine="420" w:firstLineChars="200"/>
        <w:rPr>
          <w:rFonts w:hint="eastAsia" w:ascii="宋体" w:hAnsi="宋体" w:cs="宋体"/>
          <w:color w:val="auto"/>
          <w:szCs w:val="21"/>
          <w:highlight w:val="none"/>
        </w:rPr>
      </w:pPr>
    </w:p>
    <w:p w14:paraId="295A549E">
      <w:pPr>
        <w:spacing w:line="360" w:lineRule="exact"/>
        <w:ind w:firstLine="422"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w:t>
      </w:r>
      <w:r>
        <w:rPr>
          <w:rFonts w:hint="eastAsia" w:ascii="宋体" w:hAnsi="宋体" w:cs="宋体"/>
          <w:b/>
          <w:bCs/>
          <w:color w:val="auto"/>
          <w:szCs w:val="21"/>
          <w:highlight w:val="none"/>
          <w:lang w:val="en-US" w:eastAsia="zh-CN"/>
        </w:rPr>
        <w:t>4</w:t>
      </w:r>
      <w:r>
        <w:rPr>
          <w:rFonts w:hint="eastAsia" w:ascii="宋体" w:hAnsi="宋体" w:cs="宋体"/>
          <w:b/>
          <w:bCs/>
          <w:color w:val="auto"/>
          <w:szCs w:val="21"/>
          <w:highlight w:val="none"/>
        </w:rPr>
        <w:t>）竞赛获奖计分标准（单位：分/项）</w:t>
      </w:r>
    </w:p>
    <w:tbl>
      <w:tblPr>
        <w:tblStyle w:val="6"/>
        <w:tblW w:w="63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14"/>
        <w:gridCol w:w="865"/>
        <w:gridCol w:w="1139"/>
        <w:gridCol w:w="808"/>
        <w:gridCol w:w="907"/>
        <w:gridCol w:w="819"/>
      </w:tblGrid>
      <w:tr w14:paraId="6B79B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2679" w:type="dxa"/>
            <w:gridSpan w:val="2"/>
            <w:noWrap w:val="0"/>
            <w:vAlign w:val="top"/>
          </w:tcPr>
          <w:p w14:paraId="4D7E6345">
            <w:pPr>
              <w:tabs>
                <w:tab w:val="center" w:pos="4153"/>
                <w:tab w:val="right" w:pos="8306"/>
              </w:tabs>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竞赛种类</w:t>
            </w:r>
          </w:p>
        </w:tc>
        <w:tc>
          <w:tcPr>
            <w:tcW w:w="1139" w:type="dxa"/>
            <w:noWrap w:val="0"/>
            <w:vAlign w:val="top"/>
          </w:tcPr>
          <w:p w14:paraId="50CECDF8">
            <w:pPr>
              <w:tabs>
                <w:tab w:val="center" w:pos="4153"/>
                <w:tab w:val="right" w:pos="8306"/>
              </w:tabs>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成果等级</w:t>
            </w:r>
          </w:p>
        </w:tc>
        <w:tc>
          <w:tcPr>
            <w:tcW w:w="808" w:type="dxa"/>
            <w:noWrap w:val="0"/>
            <w:vAlign w:val="top"/>
          </w:tcPr>
          <w:p w14:paraId="23D0DA83">
            <w:pPr>
              <w:tabs>
                <w:tab w:val="center" w:pos="4153"/>
                <w:tab w:val="right" w:pos="8306"/>
              </w:tabs>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排名1</w:t>
            </w:r>
          </w:p>
        </w:tc>
        <w:tc>
          <w:tcPr>
            <w:tcW w:w="907" w:type="dxa"/>
            <w:noWrap w:val="0"/>
            <w:vAlign w:val="top"/>
          </w:tcPr>
          <w:p w14:paraId="18865399">
            <w:pPr>
              <w:tabs>
                <w:tab w:val="center" w:pos="4153"/>
                <w:tab w:val="right" w:pos="8306"/>
              </w:tabs>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排名2</w:t>
            </w:r>
          </w:p>
        </w:tc>
        <w:tc>
          <w:tcPr>
            <w:tcW w:w="819" w:type="dxa"/>
            <w:noWrap w:val="0"/>
            <w:vAlign w:val="top"/>
          </w:tcPr>
          <w:p w14:paraId="65080E5C">
            <w:pPr>
              <w:tabs>
                <w:tab w:val="center" w:pos="4153"/>
                <w:tab w:val="right" w:pos="8306"/>
              </w:tabs>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排名3</w:t>
            </w:r>
          </w:p>
        </w:tc>
      </w:tr>
      <w:tr w14:paraId="1E1E2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vMerge w:val="restart"/>
            <w:noWrap w:val="0"/>
            <w:vAlign w:val="center"/>
          </w:tcPr>
          <w:p w14:paraId="53DE53D0">
            <w:pPr>
              <w:tabs>
                <w:tab w:val="center" w:pos="4153"/>
                <w:tab w:val="right" w:pos="8306"/>
              </w:tabs>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教育部学位与研究生教育发展中心认定的竞赛、上海市认定的参与毕业生进沪就业打分的竞赛</w:t>
            </w:r>
          </w:p>
        </w:tc>
        <w:tc>
          <w:tcPr>
            <w:tcW w:w="865" w:type="dxa"/>
            <w:vMerge w:val="restart"/>
            <w:noWrap w:val="0"/>
            <w:vAlign w:val="center"/>
          </w:tcPr>
          <w:p w14:paraId="55E3C4CE">
            <w:pPr>
              <w:tabs>
                <w:tab w:val="center" w:pos="4153"/>
                <w:tab w:val="right" w:pos="8306"/>
              </w:tabs>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国家赛</w:t>
            </w:r>
          </w:p>
        </w:tc>
        <w:tc>
          <w:tcPr>
            <w:tcW w:w="1139" w:type="dxa"/>
            <w:noWrap w:val="0"/>
            <w:vAlign w:val="top"/>
          </w:tcPr>
          <w:p w14:paraId="32A4999D">
            <w:pPr>
              <w:tabs>
                <w:tab w:val="center" w:pos="4153"/>
                <w:tab w:val="right" w:pos="8306"/>
              </w:tabs>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一等奖</w:t>
            </w:r>
          </w:p>
        </w:tc>
        <w:tc>
          <w:tcPr>
            <w:tcW w:w="808" w:type="dxa"/>
            <w:noWrap w:val="0"/>
            <w:vAlign w:val="top"/>
          </w:tcPr>
          <w:p w14:paraId="5ECC306F">
            <w:pPr>
              <w:tabs>
                <w:tab w:val="center" w:pos="4153"/>
                <w:tab w:val="right" w:pos="8306"/>
              </w:tabs>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907" w:type="dxa"/>
            <w:noWrap w:val="0"/>
            <w:vAlign w:val="center"/>
          </w:tcPr>
          <w:p w14:paraId="2F54E472">
            <w:pPr>
              <w:tabs>
                <w:tab w:val="center" w:pos="4153"/>
                <w:tab w:val="right" w:pos="8306"/>
              </w:tabs>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4.2</w:t>
            </w:r>
          </w:p>
        </w:tc>
        <w:tc>
          <w:tcPr>
            <w:tcW w:w="819" w:type="dxa"/>
            <w:noWrap w:val="0"/>
            <w:vAlign w:val="center"/>
          </w:tcPr>
          <w:p w14:paraId="133FAC3E">
            <w:pPr>
              <w:tabs>
                <w:tab w:val="center" w:pos="4153"/>
                <w:tab w:val="right" w:pos="8306"/>
              </w:tabs>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r>
      <w:tr w14:paraId="116C3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vMerge w:val="continue"/>
            <w:noWrap w:val="0"/>
            <w:vAlign w:val="top"/>
          </w:tcPr>
          <w:p w14:paraId="3B680523">
            <w:pPr>
              <w:tabs>
                <w:tab w:val="center" w:pos="4153"/>
                <w:tab w:val="right" w:pos="8306"/>
              </w:tabs>
              <w:rPr>
                <w:rFonts w:hint="eastAsia" w:ascii="宋体" w:hAnsi="宋体" w:eastAsia="宋体" w:cs="宋体"/>
                <w:color w:val="auto"/>
                <w:sz w:val="20"/>
                <w:szCs w:val="20"/>
                <w:highlight w:val="none"/>
              </w:rPr>
            </w:pPr>
          </w:p>
        </w:tc>
        <w:tc>
          <w:tcPr>
            <w:tcW w:w="865" w:type="dxa"/>
            <w:vMerge w:val="continue"/>
            <w:noWrap w:val="0"/>
            <w:vAlign w:val="top"/>
          </w:tcPr>
          <w:p w14:paraId="2CA442DD">
            <w:pPr>
              <w:tabs>
                <w:tab w:val="center" w:pos="4153"/>
                <w:tab w:val="right" w:pos="8306"/>
              </w:tabs>
              <w:rPr>
                <w:rFonts w:hint="eastAsia" w:ascii="宋体" w:hAnsi="宋体" w:eastAsia="宋体" w:cs="宋体"/>
                <w:color w:val="auto"/>
                <w:sz w:val="20"/>
                <w:szCs w:val="20"/>
                <w:highlight w:val="none"/>
              </w:rPr>
            </w:pPr>
          </w:p>
        </w:tc>
        <w:tc>
          <w:tcPr>
            <w:tcW w:w="1139" w:type="dxa"/>
            <w:noWrap w:val="0"/>
            <w:vAlign w:val="top"/>
          </w:tcPr>
          <w:p w14:paraId="72CA23F2">
            <w:pPr>
              <w:tabs>
                <w:tab w:val="center" w:pos="4153"/>
                <w:tab w:val="right" w:pos="8306"/>
              </w:tabs>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二等奖</w:t>
            </w:r>
          </w:p>
        </w:tc>
        <w:tc>
          <w:tcPr>
            <w:tcW w:w="808" w:type="dxa"/>
            <w:noWrap w:val="0"/>
            <w:vAlign w:val="top"/>
          </w:tcPr>
          <w:p w14:paraId="319BFA0C">
            <w:pPr>
              <w:tabs>
                <w:tab w:val="center" w:pos="4153"/>
                <w:tab w:val="right" w:pos="8306"/>
              </w:tabs>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w:t>
            </w:r>
          </w:p>
        </w:tc>
        <w:tc>
          <w:tcPr>
            <w:tcW w:w="907" w:type="dxa"/>
            <w:noWrap w:val="0"/>
            <w:vAlign w:val="top"/>
          </w:tcPr>
          <w:p w14:paraId="7A8B0421">
            <w:pPr>
              <w:tabs>
                <w:tab w:val="center" w:pos="4153"/>
                <w:tab w:val="right" w:pos="8306"/>
              </w:tabs>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2.8</w:t>
            </w:r>
          </w:p>
        </w:tc>
        <w:tc>
          <w:tcPr>
            <w:tcW w:w="819" w:type="dxa"/>
            <w:noWrap w:val="0"/>
            <w:vAlign w:val="top"/>
          </w:tcPr>
          <w:p w14:paraId="576053BB">
            <w:pPr>
              <w:tabs>
                <w:tab w:val="center" w:pos="4153"/>
                <w:tab w:val="right" w:pos="8306"/>
              </w:tabs>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r>
      <w:tr w14:paraId="3C9EC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vMerge w:val="continue"/>
            <w:noWrap w:val="0"/>
            <w:vAlign w:val="top"/>
          </w:tcPr>
          <w:p w14:paraId="68B38B4E">
            <w:pPr>
              <w:tabs>
                <w:tab w:val="center" w:pos="4153"/>
                <w:tab w:val="right" w:pos="8306"/>
              </w:tabs>
              <w:rPr>
                <w:rFonts w:hint="eastAsia" w:ascii="宋体" w:hAnsi="宋体" w:eastAsia="宋体" w:cs="宋体"/>
                <w:color w:val="auto"/>
                <w:sz w:val="20"/>
                <w:szCs w:val="20"/>
                <w:highlight w:val="none"/>
              </w:rPr>
            </w:pPr>
          </w:p>
        </w:tc>
        <w:tc>
          <w:tcPr>
            <w:tcW w:w="865" w:type="dxa"/>
            <w:vMerge w:val="continue"/>
            <w:noWrap w:val="0"/>
            <w:vAlign w:val="top"/>
          </w:tcPr>
          <w:p w14:paraId="46A89077">
            <w:pPr>
              <w:tabs>
                <w:tab w:val="center" w:pos="4153"/>
                <w:tab w:val="right" w:pos="8306"/>
              </w:tabs>
              <w:rPr>
                <w:rFonts w:hint="eastAsia" w:ascii="宋体" w:hAnsi="宋体" w:eastAsia="宋体" w:cs="宋体"/>
                <w:color w:val="auto"/>
                <w:sz w:val="20"/>
                <w:szCs w:val="20"/>
                <w:highlight w:val="none"/>
              </w:rPr>
            </w:pPr>
          </w:p>
        </w:tc>
        <w:tc>
          <w:tcPr>
            <w:tcW w:w="1139" w:type="dxa"/>
            <w:noWrap w:val="0"/>
            <w:vAlign w:val="top"/>
          </w:tcPr>
          <w:p w14:paraId="36B3AEA8">
            <w:pPr>
              <w:tabs>
                <w:tab w:val="center" w:pos="4153"/>
                <w:tab w:val="right" w:pos="8306"/>
              </w:tabs>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三等奖</w:t>
            </w:r>
          </w:p>
        </w:tc>
        <w:tc>
          <w:tcPr>
            <w:tcW w:w="808" w:type="dxa"/>
            <w:noWrap w:val="0"/>
            <w:vAlign w:val="top"/>
          </w:tcPr>
          <w:p w14:paraId="1FF20CC4">
            <w:pPr>
              <w:tabs>
                <w:tab w:val="center" w:pos="4153"/>
                <w:tab w:val="right" w:pos="8306"/>
              </w:tabs>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907" w:type="dxa"/>
            <w:noWrap w:val="0"/>
            <w:vAlign w:val="top"/>
          </w:tcPr>
          <w:p w14:paraId="39951DD8">
            <w:pPr>
              <w:tabs>
                <w:tab w:val="center" w:pos="4153"/>
                <w:tab w:val="right" w:pos="8306"/>
              </w:tabs>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1.4</w:t>
            </w:r>
          </w:p>
        </w:tc>
        <w:tc>
          <w:tcPr>
            <w:tcW w:w="819" w:type="dxa"/>
            <w:noWrap w:val="0"/>
            <w:vAlign w:val="top"/>
          </w:tcPr>
          <w:p w14:paraId="4B09F89B">
            <w:pPr>
              <w:tabs>
                <w:tab w:val="center" w:pos="4153"/>
                <w:tab w:val="right" w:pos="8306"/>
              </w:tabs>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w:t>
            </w:r>
          </w:p>
        </w:tc>
      </w:tr>
      <w:tr w14:paraId="6665E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vMerge w:val="continue"/>
            <w:noWrap w:val="0"/>
            <w:vAlign w:val="center"/>
          </w:tcPr>
          <w:p w14:paraId="42A6E468">
            <w:pPr>
              <w:tabs>
                <w:tab w:val="center" w:pos="4153"/>
                <w:tab w:val="right" w:pos="8306"/>
              </w:tabs>
              <w:jc w:val="center"/>
              <w:rPr>
                <w:rFonts w:hint="eastAsia" w:ascii="宋体" w:hAnsi="宋体" w:eastAsia="宋体" w:cs="宋体"/>
                <w:color w:val="auto"/>
                <w:sz w:val="20"/>
                <w:szCs w:val="20"/>
                <w:highlight w:val="none"/>
              </w:rPr>
            </w:pPr>
          </w:p>
        </w:tc>
        <w:tc>
          <w:tcPr>
            <w:tcW w:w="865" w:type="dxa"/>
            <w:vMerge w:val="restart"/>
            <w:noWrap w:val="0"/>
            <w:vAlign w:val="center"/>
          </w:tcPr>
          <w:p w14:paraId="381C5E43">
            <w:pPr>
              <w:tabs>
                <w:tab w:val="center" w:pos="4153"/>
                <w:tab w:val="right" w:pos="8306"/>
              </w:tabs>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地区赛</w:t>
            </w:r>
          </w:p>
        </w:tc>
        <w:tc>
          <w:tcPr>
            <w:tcW w:w="1139" w:type="dxa"/>
            <w:noWrap w:val="0"/>
            <w:vAlign w:val="top"/>
          </w:tcPr>
          <w:p w14:paraId="06FF6C20">
            <w:pPr>
              <w:tabs>
                <w:tab w:val="center" w:pos="4153"/>
                <w:tab w:val="right" w:pos="8306"/>
              </w:tabs>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一等奖</w:t>
            </w:r>
          </w:p>
        </w:tc>
        <w:tc>
          <w:tcPr>
            <w:tcW w:w="808" w:type="dxa"/>
            <w:noWrap w:val="0"/>
            <w:vAlign w:val="top"/>
          </w:tcPr>
          <w:p w14:paraId="0744B78A">
            <w:pPr>
              <w:tabs>
                <w:tab w:val="center" w:pos="4153"/>
                <w:tab w:val="right" w:pos="8306"/>
              </w:tabs>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907" w:type="dxa"/>
            <w:noWrap w:val="0"/>
            <w:vAlign w:val="top"/>
          </w:tcPr>
          <w:p w14:paraId="6699CE9B">
            <w:pPr>
              <w:tabs>
                <w:tab w:val="center" w:pos="4153"/>
                <w:tab w:val="right" w:pos="8306"/>
              </w:tabs>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2.1</w:t>
            </w:r>
          </w:p>
        </w:tc>
        <w:tc>
          <w:tcPr>
            <w:tcW w:w="819" w:type="dxa"/>
            <w:noWrap w:val="0"/>
            <w:vAlign w:val="top"/>
          </w:tcPr>
          <w:p w14:paraId="0D23563B">
            <w:pPr>
              <w:tabs>
                <w:tab w:val="center" w:pos="4153"/>
                <w:tab w:val="right" w:pos="8306"/>
              </w:tabs>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1.5</w:t>
            </w:r>
          </w:p>
        </w:tc>
      </w:tr>
      <w:tr w14:paraId="51500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vMerge w:val="continue"/>
            <w:noWrap w:val="0"/>
            <w:vAlign w:val="top"/>
          </w:tcPr>
          <w:p w14:paraId="71BE7993">
            <w:pPr>
              <w:tabs>
                <w:tab w:val="center" w:pos="4153"/>
                <w:tab w:val="right" w:pos="8306"/>
              </w:tabs>
              <w:jc w:val="center"/>
              <w:rPr>
                <w:rFonts w:hint="eastAsia" w:ascii="宋体" w:hAnsi="宋体" w:eastAsia="宋体" w:cs="宋体"/>
                <w:color w:val="auto"/>
                <w:sz w:val="20"/>
                <w:szCs w:val="20"/>
                <w:highlight w:val="none"/>
              </w:rPr>
            </w:pPr>
          </w:p>
        </w:tc>
        <w:tc>
          <w:tcPr>
            <w:tcW w:w="865" w:type="dxa"/>
            <w:vMerge w:val="continue"/>
            <w:noWrap w:val="0"/>
            <w:vAlign w:val="top"/>
          </w:tcPr>
          <w:p w14:paraId="3096C8D9">
            <w:pPr>
              <w:tabs>
                <w:tab w:val="center" w:pos="4153"/>
                <w:tab w:val="right" w:pos="8306"/>
              </w:tabs>
              <w:jc w:val="center"/>
              <w:rPr>
                <w:rFonts w:hint="eastAsia" w:ascii="宋体" w:hAnsi="宋体" w:eastAsia="宋体" w:cs="宋体"/>
                <w:color w:val="auto"/>
                <w:sz w:val="20"/>
                <w:szCs w:val="20"/>
                <w:highlight w:val="none"/>
              </w:rPr>
            </w:pPr>
          </w:p>
        </w:tc>
        <w:tc>
          <w:tcPr>
            <w:tcW w:w="1139" w:type="dxa"/>
            <w:noWrap w:val="0"/>
            <w:vAlign w:val="top"/>
          </w:tcPr>
          <w:p w14:paraId="4F555B97">
            <w:pPr>
              <w:tabs>
                <w:tab w:val="center" w:pos="4153"/>
                <w:tab w:val="right" w:pos="8306"/>
              </w:tabs>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二等奖</w:t>
            </w:r>
          </w:p>
        </w:tc>
        <w:tc>
          <w:tcPr>
            <w:tcW w:w="808" w:type="dxa"/>
            <w:noWrap w:val="0"/>
            <w:vAlign w:val="top"/>
          </w:tcPr>
          <w:p w14:paraId="6D8CBB31">
            <w:pPr>
              <w:tabs>
                <w:tab w:val="center" w:pos="4153"/>
                <w:tab w:val="right" w:pos="8306"/>
              </w:tabs>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907" w:type="dxa"/>
            <w:noWrap w:val="0"/>
            <w:vAlign w:val="top"/>
          </w:tcPr>
          <w:p w14:paraId="738E6D56">
            <w:pPr>
              <w:tabs>
                <w:tab w:val="center" w:pos="4153"/>
                <w:tab w:val="right" w:pos="8306"/>
              </w:tabs>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1.4</w:t>
            </w:r>
          </w:p>
        </w:tc>
        <w:tc>
          <w:tcPr>
            <w:tcW w:w="819" w:type="dxa"/>
            <w:noWrap w:val="0"/>
            <w:vAlign w:val="top"/>
          </w:tcPr>
          <w:p w14:paraId="4E8DC83B">
            <w:pPr>
              <w:tabs>
                <w:tab w:val="center" w:pos="4153"/>
                <w:tab w:val="right" w:pos="8306"/>
              </w:tabs>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w:t>
            </w:r>
          </w:p>
        </w:tc>
      </w:tr>
      <w:tr w14:paraId="60320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vMerge w:val="continue"/>
            <w:noWrap w:val="0"/>
            <w:vAlign w:val="top"/>
          </w:tcPr>
          <w:p w14:paraId="4657D101">
            <w:pPr>
              <w:tabs>
                <w:tab w:val="center" w:pos="4153"/>
                <w:tab w:val="right" w:pos="8306"/>
              </w:tabs>
              <w:jc w:val="center"/>
              <w:rPr>
                <w:rFonts w:hint="eastAsia" w:ascii="宋体" w:hAnsi="宋体" w:eastAsia="宋体" w:cs="宋体"/>
                <w:color w:val="auto"/>
                <w:sz w:val="20"/>
                <w:szCs w:val="20"/>
                <w:highlight w:val="none"/>
              </w:rPr>
            </w:pPr>
          </w:p>
        </w:tc>
        <w:tc>
          <w:tcPr>
            <w:tcW w:w="865" w:type="dxa"/>
            <w:vMerge w:val="continue"/>
            <w:noWrap w:val="0"/>
            <w:vAlign w:val="top"/>
          </w:tcPr>
          <w:p w14:paraId="022D823B">
            <w:pPr>
              <w:tabs>
                <w:tab w:val="center" w:pos="4153"/>
                <w:tab w:val="right" w:pos="8306"/>
              </w:tabs>
              <w:jc w:val="center"/>
              <w:rPr>
                <w:rFonts w:hint="eastAsia" w:ascii="宋体" w:hAnsi="宋体" w:eastAsia="宋体" w:cs="宋体"/>
                <w:color w:val="auto"/>
                <w:sz w:val="20"/>
                <w:szCs w:val="20"/>
                <w:highlight w:val="none"/>
              </w:rPr>
            </w:pPr>
          </w:p>
        </w:tc>
        <w:tc>
          <w:tcPr>
            <w:tcW w:w="1139" w:type="dxa"/>
            <w:noWrap w:val="0"/>
            <w:vAlign w:val="top"/>
          </w:tcPr>
          <w:p w14:paraId="1ED2153A">
            <w:pPr>
              <w:tabs>
                <w:tab w:val="center" w:pos="4153"/>
                <w:tab w:val="right" w:pos="8306"/>
              </w:tabs>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三等奖</w:t>
            </w:r>
          </w:p>
        </w:tc>
        <w:tc>
          <w:tcPr>
            <w:tcW w:w="808" w:type="dxa"/>
            <w:noWrap w:val="0"/>
            <w:vAlign w:val="top"/>
          </w:tcPr>
          <w:p w14:paraId="00FD6D65">
            <w:pPr>
              <w:tabs>
                <w:tab w:val="center" w:pos="4153"/>
                <w:tab w:val="right" w:pos="8306"/>
              </w:tabs>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w:t>
            </w:r>
          </w:p>
        </w:tc>
        <w:tc>
          <w:tcPr>
            <w:tcW w:w="907" w:type="dxa"/>
            <w:noWrap w:val="0"/>
            <w:vAlign w:val="top"/>
          </w:tcPr>
          <w:p w14:paraId="452772DA">
            <w:pPr>
              <w:tabs>
                <w:tab w:val="center" w:pos="4153"/>
                <w:tab w:val="right" w:pos="8306"/>
              </w:tabs>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0.5</w:t>
            </w:r>
          </w:p>
        </w:tc>
        <w:tc>
          <w:tcPr>
            <w:tcW w:w="819" w:type="dxa"/>
            <w:noWrap w:val="0"/>
            <w:vAlign w:val="top"/>
          </w:tcPr>
          <w:p w14:paraId="157F8140">
            <w:pPr>
              <w:tabs>
                <w:tab w:val="center" w:pos="4153"/>
                <w:tab w:val="right" w:pos="8306"/>
              </w:tabs>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0.5</w:t>
            </w:r>
          </w:p>
        </w:tc>
      </w:tr>
      <w:tr w14:paraId="2602A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79" w:type="dxa"/>
            <w:gridSpan w:val="2"/>
            <w:vMerge w:val="restart"/>
            <w:noWrap w:val="0"/>
            <w:vAlign w:val="center"/>
          </w:tcPr>
          <w:p w14:paraId="5EE7D6F4">
            <w:pPr>
              <w:tabs>
                <w:tab w:val="center" w:pos="4153"/>
                <w:tab w:val="right" w:pos="8306"/>
              </w:tabs>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我校认定的其他全国性专业竞赛</w:t>
            </w:r>
          </w:p>
        </w:tc>
        <w:tc>
          <w:tcPr>
            <w:tcW w:w="1139" w:type="dxa"/>
            <w:noWrap w:val="0"/>
            <w:vAlign w:val="top"/>
          </w:tcPr>
          <w:p w14:paraId="1C5620E7">
            <w:pPr>
              <w:tabs>
                <w:tab w:val="center" w:pos="4153"/>
                <w:tab w:val="right" w:pos="8306"/>
              </w:tabs>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一等奖</w:t>
            </w:r>
          </w:p>
        </w:tc>
        <w:tc>
          <w:tcPr>
            <w:tcW w:w="808" w:type="dxa"/>
            <w:noWrap w:val="0"/>
            <w:vAlign w:val="top"/>
          </w:tcPr>
          <w:p w14:paraId="464922E6">
            <w:pPr>
              <w:tabs>
                <w:tab w:val="center" w:pos="4153"/>
                <w:tab w:val="right" w:pos="8306"/>
              </w:tabs>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907" w:type="dxa"/>
            <w:noWrap w:val="0"/>
            <w:vAlign w:val="top"/>
          </w:tcPr>
          <w:p w14:paraId="281F7556">
            <w:pPr>
              <w:tabs>
                <w:tab w:val="center" w:pos="4153"/>
                <w:tab w:val="right" w:pos="8306"/>
              </w:tabs>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2.1</w:t>
            </w:r>
          </w:p>
        </w:tc>
        <w:tc>
          <w:tcPr>
            <w:tcW w:w="819" w:type="dxa"/>
            <w:noWrap w:val="0"/>
            <w:vAlign w:val="top"/>
          </w:tcPr>
          <w:p w14:paraId="11FB382E">
            <w:pPr>
              <w:tabs>
                <w:tab w:val="center" w:pos="4153"/>
                <w:tab w:val="right" w:pos="8306"/>
              </w:tabs>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1.5</w:t>
            </w:r>
          </w:p>
        </w:tc>
      </w:tr>
      <w:tr w14:paraId="772FE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79" w:type="dxa"/>
            <w:gridSpan w:val="2"/>
            <w:vMerge w:val="continue"/>
            <w:noWrap w:val="0"/>
            <w:vAlign w:val="top"/>
          </w:tcPr>
          <w:p w14:paraId="387A29B6">
            <w:pPr>
              <w:tabs>
                <w:tab w:val="center" w:pos="4153"/>
                <w:tab w:val="right" w:pos="8306"/>
              </w:tabs>
              <w:jc w:val="center"/>
              <w:rPr>
                <w:rFonts w:hint="eastAsia" w:ascii="宋体" w:hAnsi="宋体" w:eastAsia="宋体" w:cs="宋体"/>
                <w:color w:val="auto"/>
                <w:sz w:val="20"/>
                <w:szCs w:val="20"/>
                <w:highlight w:val="none"/>
              </w:rPr>
            </w:pPr>
          </w:p>
        </w:tc>
        <w:tc>
          <w:tcPr>
            <w:tcW w:w="1139" w:type="dxa"/>
            <w:noWrap w:val="0"/>
            <w:vAlign w:val="top"/>
          </w:tcPr>
          <w:p w14:paraId="3DD3B206">
            <w:pPr>
              <w:tabs>
                <w:tab w:val="center" w:pos="4153"/>
                <w:tab w:val="right" w:pos="8306"/>
              </w:tabs>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二等奖</w:t>
            </w:r>
          </w:p>
        </w:tc>
        <w:tc>
          <w:tcPr>
            <w:tcW w:w="808" w:type="dxa"/>
            <w:noWrap w:val="0"/>
            <w:vAlign w:val="top"/>
          </w:tcPr>
          <w:p w14:paraId="1ECE21F4">
            <w:pPr>
              <w:tabs>
                <w:tab w:val="center" w:pos="4153"/>
                <w:tab w:val="right" w:pos="8306"/>
              </w:tabs>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907" w:type="dxa"/>
            <w:noWrap w:val="0"/>
            <w:vAlign w:val="top"/>
          </w:tcPr>
          <w:p w14:paraId="10C9311F">
            <w:pPr>
              <w:tabs>
                <w:tab w:val="center" w:pos="4153"/>
                <w:tab w:val="right" w:pos="8306"/>
              </w:tabs>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1.4</w:t>
            </w:r>
          </w:p>
        </w:tc>
        <w:tc>
          <w:tcPr>
            <w:tcW w:w="819" w:type="dxa"/>
            <w:noWrap w:val="0"/>
            <w:vAlign w:val="top"/>
          </w:tcPr>
          <w:p w14:paraId="1AF7C3FB">
            <w:pPr>
              <w:tabs>
                <w:tab w:val="center" w:pos="4153"/>
                <w:tab w:val="right" w:pos="8306"/>
              </w:tabs>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w:t>
            </w:r>
          </w:p>
        </w:tc>
      </w:tr>
      <w:tr w14:paraId="19B27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79" w:type="dxa"/>
            <w:gridSpan w:val="2"/>
            <w:vMerge w:val="continue"/>
            <w:noWrap w:val="0"/>
            <w:vAlign w:val="top"/>
          </w:tcPr>
          <w:p w14:paraId="7D1AC625">
            <w:pPr>
              <w:tabs>
                <w:tab w:val="center" w:pos="4153"/>
                <w:tab w:val="right" w:pos="8306"/>
              </w:tabs>
              <w:jc w:val="center"/>
              <w:rPr>
                <w:rFonts w:hint="eastAsia" w:ascii="宋体" w:hAnsi="宋体" w:eastAsia="宋体" w:cs="宋体"/>
                <w:color w:val="auto"/>
                <w:sz w:val="20"/>
                <w:szCs w:val="20"/>
                <w:highlight w:val="none"/>
              </w:rPr>
            </w:pPr>
          </w:p>
        </w:tc>
        <w:tc>
          <w:tcPr>
            <w:tcW w:w="1139" w:type="dxa"/>
            <w:noWrap w:val="0"/>
            <w:vAlign w:val="top"/>
          </w:tcPr>
          <w:p w14:paraId="41E54243">
            <w:pPr>
              <w:tabs>
                <w:tab w:val="center" w:pos="4153"/>
                <w:tab w:val="right" w:pos="8306"/>
              </w:tabs>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三等奖</w:t>
            </w:r>
          </w:p>
        </w:tc>
        <w:tc>
          <w:tcPr>
            <w:tcW w:w="808" w:type="dxa"/>
            <w:noWrap w:val="0"/>
            <w:vAlign w:val="top"/>
          </w:tcPr>
          <w:p w14:paraId="20050B1B">
            <w:pPr>
              <w:tabs>
                <w:tab w:val="center" w:pos="4153"/>
                <w:tab w:val="right" w:pos="8306"/>
              </w:tabs>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w:t>
            </w:r>
          </w:p>
        </w:tc>
        <w:tc>
          <w:tcPr>
            <w:tcW w:w="907" w:type="dxa"/>
            <w:noWrap w:val="0"/>
            <w:vAlign w:val="top"/>
          </w:tcPr>
          <w:p w14:paraId="4EA6FC64">
            <w:pPr>
              <w:tabs>
                <w:tab w:val="center" w:pos="4153"/>
                <w:tab w:val="right" w:pos="8306"/>
              </w:tabs>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0.5</w:t>
            </w:r>
          </w:p>
        </w:tc>
        <w:tc>
          <w:tcPr>
            <w:tcW w:w="819" w:type="dxa"/>
            <w:noWrap w:val="0"/>
            <w:vAlign w:val="top"/>
          </w:tcPr>
          <w:p w14:paraId="6CD4FB33">
            <w:pPr>
              <w:tabs>
                <w:tab w:val="center" w:pos="4153"/>
                <w:tab w:val="right" w:pos="8306"/>
              </w:tabs>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0.5</w:t>
            </w:r>
          </w:p>
        </w:tc>
      </w:tr>
    </w:tbl>
    <w:p w14:paraId="517423B2">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说明：</w:t>
      </w:r>
    </w:p>
    <w:p w14:paraId="23BC1EC8">
      <w:pPr>
        <w:keepNext w:val="0"/>
        <w:keepLines w:val="0"/>
        <w:pageBreakBefore w:val="0"/>
        <w:widowControl w:val="0"/>
        <w:kinsoku/>
        <w:wordWrap/>
        <w:overflowPunct/>
        <w:topLinePunct w:val="0"/>
        <w:autoSpaceDE/>
        <w:autoSpaceDN/>
        <w:bidi w:val="0"/>
        <w:adjustRightInd/>
        <w:snapToGrid/>
        <w:spacing w:line="300" w:lineRule="auto"/>
        <w:ind w:left="0" w:leftChars="0" w:firstLine="400" w:firstLineChars="200"/>
        <w:textAlignment w:val="auto"/>
        <w:rPr>
          <w:rFonts w:hint="eastAsia" w:ascii="Times New Roman" w:hAnsi="Times New Roman" w:eastAsia="宋体" w:cstheme="majorEastAsia"/>
          <w:sz w:val="20"/>
          <w:szCs w:val="20"/>
          <w:highlight w:val="none"/>
          <w:lang w:val="en-US" w:eastAsia="zh-CN"/>
        </w:rPr>
      </w:pPr>
      <w:r>
        <w:rPr>
          <w:rFonts w:hint="eastAsia" w:ascii="Times New Roman" w:hAnsi="Times New Roman" w:eastAsia="宋体" w:cstheme="majorEastAsia"/>
          <w:sz w:val="20"/>
          <w:szCs w:val="20"/>
          <w:highlight w:val="none"/>
          <w:lang w:val="en-US" w:eastAsia="zh-CN"/>
        </w:rPr>
        <w:t>①若为个人奖项，则按排名1得分。若为团体获奖，①可以按照上表参考分值分配；②也可以按照排名1-3的计分之和按团队人数平均计分；③还可以在全体成员同意的情况下，根据个人贡献度自行分配。</w:t>
      </w:r>
      <w:r>
        <w:rPr>
          <w:rFonts w:hint="eastAsia" w:ascii="Times New Roman" w:hAnsi="Times New Roman" w:eastAsia="宋体" w:cstheme="majorEastAsia"/>
          <w:b/>
          <w:bCs/>
          <w:sz w:val="20"/>
          <w:szCs w:val="20"/>
          <w:highlight w:val="none"/>
          <w:lang w:val="en-US" w:eastAsia="zh-CN"/>
        </w:rPr>
        <w:t>（注：第③方案只允许分配3名。分值分配方案学院要公示，公示10天。一项成果分配一次，一旦完成公示后，奖学金评定、各类评优和学位授予成果计分等用途不得再变更分配方案和分配方式。）</w:t>
      </w:r>
    </w:p>
    <w:p w14:paraId="4174E0DB">
      <w:pPr>
        <w:keepNext w:val="0"/>
        <w:keepLines w:val="0"/>
        <w:pageBreakBefore w:val="0"/>
        <w:widowControl w:val="0"/>
        <w:kinsoku/>
        <w:wordWrap/>
        <w:overflowPunct/>
        <w:topLinePunct w:val="0"/>
        <w:autoSpaceDE/>
        <w:autoSpaceDN/>
        <w:bidi w:val="0"/>
        <w:adjustRightInd/>
        <w:snapToGrid/>
        <w:spacing w:line="300" w:lineRule="auto"/>
        <w:ind w:left="0" w:leftChars="0" w:firstLine="400" w:firstLineChars="200"/>
        <w:textAlignment w:val="auto"/>
        <w:rPr>
          <w:rFonts w:hint="eastAsia" w:ascii="Times New Roman" w:hAnsi="Times New Roman" w:eastAsia="宋体" w:cstheme="majorEastAsia"/>
          <w:sz w:val="20"/>
          <w:szCs w:val="20"/>
          <w:highlight w:val="none"/>
          <w:lang w:val="en-US" w:eastAsia="zh-CN"/>
        </w:rPr>
      </w:pPr>
      <w:r>
        <w:rPr>
          <w:rFonts w:hint="eastAsia" w:ascii="Times New Roman" w:hAnsi="Times New Roman" w:eastAsia="宋体" w:cstheme="majorEastAsia"/>
          <w:sz w:val="20"/>
          <w:szCs w:val="20"/>
          <w:highlight w:val="none"/>
          <w:lang w:val="en-US" w:eastAsia="zh-CN"/>
        </w:rPr>
        <w:t>②列入统计范围的竞赛须提供获奖证书复印件等证明材料。</w:t>
      </w:r>
    </w:p>
    <w:p w14:paraId="062C4B63">
      <w:pPr>
        <w:keepNext w:val="0"/>
        <w:keepLines w:val="0"/>
        <w:pageBreakBefore w:val="0"/>
        <w:widowControl w:val="0"/>
        <w:kinsoku/>
        <w:wordWrap/>
        <w:overflowPunct/>
        <w:topLinePunct w:val="0"/>
        <w:autoSpaceDE/>
        <w:autoSpaceDN/>
        <w:bidi w:val="0"/>
        <w:adjustRightInd/>
        <w:snapToGrid/>
        <w:spacing w:line="300" w:lineRule="auto"/>
        <w:ind w:left="0" w:leftChars="0" w:firstLine="400" w:firstLineChars="200"/>
        <w:textAlignment w:val="auto"/>
        <w:rPr>
          <w:rFonts w:hint="eastAsia" w:ascii="Times New Roman" w:hAnsi="Times New Roman" w:eastAsia="宋体" w:cstheme="majorEastAsia"/>
          <w:sz w:val="20"/>
          <w:szCs w:val="20"/>
          <w:highlight w:val="none"/>
          <w:lang w:val="en-US" w:eastAsia="zh-CN"/>
        </w:rPr>
      </w:pPr>
      <w:r>
        <w:rPr>
          <w:rFonts w:hint="eastAsia" w:ascii="Times New Roman" w:hAnsi="Times New Roman" w:eastAsia="宋体" w:cstheme="majorEastAsia"/>
          <w:sz w:val="20"/>
          <w:szCs w:val="20"/>
          <w:highlight w:val="none"/>
          <w:lang w:val="en-US" w:eastAsia="zh-CN"/>
        </w:rPr>
        <w:t>③各级竞赛细目详见如下：</w:t>
      </w:r>
    </w:p>
    <w:p w14:paraId="60744B6E">
      <w:pPr>
        <w:keepNext w:val="0"/>
        <w:keepLines w:val="0"/>
        <w:pageBreakBefore w:val="0"/>
        <w:widowControl w:val="0"/>
        <w:kinsoku/>
        <w:wordWrap/>
        <w:overflowPunct/>
        <w:topLinePunct w:val="0"/>
        <w:autoSpaceDE/>
        <w:autoSpaceDN/>
        <w:bidi w:val="0"/>
        <w:adjustRightInd/>
        <w:snapToGrid/>
        <w:spacing w:line="300" w:lineRule="auto"/>
        <w:ind w:left="0" w:leftChars="0" w:firstLine="400" w:firstLineChars="200"/>
        <w:textAlignment w:val="auto"/>
        <w:rPr>
          <w:rFonts w:hint="default" w:ascii="Times New Roman" w:hAnsi="Times New Roman" w:eastAsia="宋体" w:cstheme="majorEastAsia"/>
          <w:b/>
          <w:bCs/>
          <w:sz w:val="20"/>
          <w:szCs w:val="20"/>
          <w:highlight w:val="none"/>
          <w:lang w:val="en-US" w:eastAsia="zh-CN"/>
        </w:rPr>
      </w:pPr>
      <w:r>
        <w:rPr>
          <w:rFonts w:hint="eastAsia" w:ascii="Times New Roman" w:hAnsi="Times New Roman" w:eastAsia="宋体" w:cstheme="majorEastAsia"/>
          <w:sz w:val="20"/>
          <w:szCs w:val="20"/>
          <w:highlight w:val="none"/>
          <w:lang w:val="en-US" w:eastAsia="zh-CN"/>
        </w:rPr>
        <w:t>A.教育部学位与研究生教育发展中心认定的竞赛指经教育部同意，自2013年面向全国在校研究生开展的“全国研究生创新实践系列活动”的主题赛事，包括：“全国研究生数学建模竞赛”“中国研究生电子设计竞赛”“全国研究生智慧城市技术与创意设计大赛”“中国研究生公共管理案例大赛”“中国研究生未来飞行器创新大赛”“中国研究生能源装备创新设计大赛”“中国研究生创芯大赛”、“中国研究生人工智能创新大赛”、“中国研究生机器人创新设计大赛”。</w:t>
      </w:r>
      <w:r>
        <w:rPr>
          <w:rFonts w:hint="eastAsia" w:ascii="Times New Roman" w:hAnsi="Times New Roman" w:eastAsia="宋体" w:cstheme="majorEastAsia"/>
          <w:b/>
          <w:bCs/>
          <w:sz w:val="20"/>
          <w:szCs w:val="20"/>
          <w:highlight w:val="none"/>
          <w:lang w:val="en-US" w:eastAsia="zh-CN"/>
        </w:rPr>
        <w:t>以上赛事按原计分数值乘以2计分。</w:t>
      </w:r>
    </w:p>
    <w:p w14:paraId="122B729E">
      <w:pPr>
        <w:keepNext w:val="0"/>
        <w:keepLines w:val="0"/>
        <w:pageBreakBefore w:val="0"/>
        <w:widowControl w:val="0"/>
        <w:kinsoku/>
        <w:wordWrap/>
        <w:overflowPunct/>
        <w:topLinePunct w:val="0"/>
        <w:autoSpaceDE/>
        <w:autoSpaceDN/>
        <w:bidi w:val="0"/>
        <w:adjustRightInd/>
        <w:snapToGrid/>
        <w:spacing w:line="300" w:lineRule="auto"/>
        <w:ind w:left="0" w:leftChars="0" w:firstLine="400" w:firstLineChars="200"/>
        <w:textAlignment w:val="auto"/>
        <w:rPr>
          <w:rFonts w:hint="eastAsia" w:ascii="Times New Roman" w:hAnsi="Times New Roman" w:eastAsia="宋体" w:cstheme="majorEastAsia"/>
          <w:sz w:val="20"/>
          <w:szCs w:val="20"/>
          <w:highlight w:val="none"/>
          <w:lang w:val="en-US" w:eastAsia="zh-CN"/>
        </w:rPr>
      </w:pPr>
      <w:r>
        <w:rPr>
          <w:rFonts w:hint="eastAsia" w:ascii="Times New Roman" w:hAnsi="Times New Roman" w:eastAsia="宋体" w:cstheme="majorEastAsia"/>
          <w:sz w:val="20"/>
          <w:szCs w:val="20"/>
          <w:highlight w:val="none"/>
          <w:lang w:val="en-US" w:eastAsia="zh-CN"/>
        </w:rPr>
        <w:t>B.上海市认定的参与毕业生进沪就业打分的竞赛指上海市每年发布的《非上海生源普通高校应届毕业生进沪就业评分办法》规定的竞赛，包括“挑战杯”全国大学生课外学术科技作品竞赛、“挑战杯”中国大学生创业计划竞赛、“创青春”全国大学生课外学术科技作品竞赛、“创青春”全国大学生创业大赛、中国国际“互联网+”大学生创新创业大赛、全国大学生（研究生）数学建模竞赛、全国大学生电子设计竞赛、中国研究生电子设计竞赛、中国研究生创芯大赛、全国大学生英语竞赛</w:t>
      </w:r>
    </w:p>
    <w:p w14:paraId="6B5667A0">
      <w:pPr>
        <w:keepNext w:val="0"/>
        <w:keepLines w:val="0"/>
        <w:pageBreakBefore w:val="0"/>
        <w:widowControl w:val="0"/>
        <w:kinsoku/>
        <w:wordWrap/>
        <w:overflowPunct/>
        <w:topLinePunct w:val="0"/>
        <w:autoSpaceDE/>
        <w:autoSpaceDN/>
        <w:bidi w:val="0"/>
        <w:adjustRightInd/>
        <w:snapToGrid/>
        <w:spacing w:line="300" w:lineRule="auto"/>
        <w:ind w:left="0" w:leftChars="0" w:firstLine="400" w:firstLineChars="200"/>
        <w:textAlignment w:val="auto"/>
        <w:rPr>
          <w:rFonts w:hint="eastAsia" w:ascii="Times New Roman" w:hAnsi="Times New Roman" w:eastAsia="宋体" w:cstheme="majorEastAsia"/>
          <w:sz w:val="20"/>
          <w:szCs w:val="20"/>
          <w:highlight w:val="none"/>
          <w:lang w:val="en-US" w:eastAsia="zh-CN"/>
        </w:rPr>
      </w:pPr>
      <w:r>
        <w:rPr>
          <w:rFonts w:hint="eastAsia" w:ascii="Times New Roman" w:hAnsi="Times New Roman" w:eastAsia="宋体" w:cstheme="majorEastAsia"/>
          <w:sz w:val="20"/>
          <w:szCs w:val="20"/>
          <w:highlight w:val="none"/>
          <w:lang w:val="en-US" w:eastAsia="zh-CN"/>
        </w:rPr>
        <w:t>C.我校认定的其他竞赛包括：“中国制冷空调行业大学生科技竞赛”“中国制冷学会创新大赛”“全国大学生节能减排社会实践与科技竞赛”“西门子杯中国制造挑战赛”“全国高校物联网应用创新大赛”“全国海洋航行器设计与制作大赛”“中国智能船艇挑战赛”“‘云丰杯’全国逆向物流设计大赛”“中国大学生机械工程创新创意大赛——过程装备实践与创新大赛”、“中国可再生能源学会大学生优秀科技作品竞赛”“全国机器翻译与译后编辑大赛（III级）”“‘思源华为杯’创译大赛（III级）”“‘儒易杯’中华文化国际翻译大赛（III级）”“‘策马翻译集团’中华笔译大赛（III级）”“韩素音全国青年翻译大赛（II级）”“中日友好杯”中国大学生日语征文比赛、“人民中国杯”日语国际翻译大赛、“中国人日语作文大赛”、“杰赛普国际法模拟法庭”“国际刑事法院中文赛”“‘VisMoot’ 国际商事模拟仲裁赛”“正大杯全国大学生市场调查与分析大赛”“全国应用统计专业学位研究生案例大赛”“‘中伦杯’全国国际商事仲裁征文大赛”“‘北仲杯’全国高校商事仲裁征文大赛”“中国国际海洋法模拟法庭竞赛（China International Law of the Sea Moot Court Competition)，中国海洋法学会、武汉大学中国边界和海洋研究院主办”“全国大学生交通运输科技大赛”。</w:t>
      </w:r>
    </w:p>
    <w:p w14:paraId="34DC5BF4">
      <w:pPr>
        <w:spacing w:line="360" w:lineRule="exact"/>
        <w:ind w:firstLine="400" w:firstLineChars="200"/>
        <w:rPr>
          <w:rFonts w:hint="eastAsia" w:ascii="宋体" w:hAnsi="宋体" w:cs="宋体"/>
          <w:color w:val="auto"/>
          <w:szCs w:val="21"/>
          <w:highlight w:val="none"/>
        </w:rPr>
      </w:pPr>
      <w:r>
        <w:rPr>
          <w:rFonts w:hint="eastAsia" w:ascii="Times New Roman" w:hAnsi="Times New Roman" w:eastAsia="宋体" w:cstheme="majorEastAsia"/>
          <w:sz w:val="20"/>
          <w:szCs w:val="20"/>
          <w:highlight w:val="none"/>
          <w:lang w:val="en-US" w:eastAsia="zh-CN"/>
        </w:rPr>
        <w:t>④竞赛若以团队形式参加的，证书上的获奖名单按姓氏笔画，体现不出排名的，所有人员得分均按照证书中排名1分值*0.85计算。</w:t>
      </w:r>
    </w:p>
    <w:p w14:paraId="6DDEB874">
      <w:pPr>
        <w:spacing w:line="360" w:lineRule="exact"/>
        <w:ind w:firstLine="420" w:firstLineChars="200"/>
        <w:rPr>
          <w:rFonts w:hint="eastAsia" w:ascii="宋体" w:hAnsi="宋体" w:cs="宋体"/>
          <w:color w:val="auto"/>
          <w:szCs w:val="21"/>
          <w:highlight w:val="none"/>
        </w:rPr>
      </w:pPr>
    </w:p>
    <w:p w14:paraId="519CC58D">
      <w:pPr>
        <w:spacing w:line="360" w:lineRule="exact"/>
        <w:ind w:firstLine="422" w:firstLineChars="200"/>
        <w:rPr>
          <w:rFonts w:hint="eastAsia" w:ascii="宋体" w:hAnsi="宋体" w:cs="宋体"/>
          <w:color w:val="auto"/>
          <w:szCs w:val="21"/>
          <w:highlight w:val="none"/>
        </w:rPr>
      </w:pPr>
      <w:r>
        <w:rPr>
          <w:rFonts w:hint="eastAsia" w:ascii="宋体" w:hAnsi="宋体" w:cs="宋体"/>
          <w:b/>
          <w:bCs/>
          <w:color w:val="auto"/>
          <w:szCs w:val="21"/>
          <w:highlight w:val="none"/>
        </w:rPr>
        <w:t>（</w:t>
      </w:r>
      <w:r>
        <w:rPr>
          <w:rFonts w:hint="eastAsia" w:ascii="宋体" w:hAnsi="宋体" w:cs="宋体"/>
          <w:b/>
          <w:bCs/>
          <w:color w:val="auto"/>
          <w:szCs w:val="21"/>
          <w:highlight w:val="none"/>
          <w:lang w:val="en-US" w:eastAsia="zh-CN"/>
        </w:rPr>
        <w:t>5</w:t>
      </w:r>
      <w:r>
        <w:rPr>
          <w:rFonts w:hint="eastAsia" w:ascii="宋体" w:hAnsi="宋体" w:cs="宋体"/>
          <w:b/>
          <w:bCs/>
          <w:color w:val="auto"/>
          <w:szCs w:val="21"/>
          <w:highlight w:val="none"/>
        </w:rPr>
        <w:t>）境外研学计分标准（单位：分/项）</w:t>
      </w:r>
    </w:p>
    <w:tbl>
      <w:tblPr>
        <w:tblStyle w:val="6"/>
        <w:tblW w:w="59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62"/>
        <w:gridCol w:w="2711"/>
        <w:gridCol w:w="893"/>
      </w:tblGrid>
      <w:tr w14:paraId="40542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2362" w:type="dxa"/>
            <w:noWrap w:val="0"/>
            <w:vAlign w:val="top"/>
          </w:tcPr>
          <w:p w14:paraId="3F622532">
            <w:pPr>
              <w:tabs>
                <w:tab w:val="center" w:pos="4153"/>
                <w:tab w:val="right" w:pos="8306"/>
              </w:tabs>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成果种类</w:t>
            </w:r>
          </w:p>
        </w:tc>
        <w:tc>
          <w:tcPr>
            <w:tcW w:w="2711" w:type="dxa"/>
            <w:noWrap w:val="0"/>
            <w:vAlign w:val="top"/>
          </w:tcPr>
          <w:p w14:paraId="6374656E">
            <w:pPr>
              <w:tabs>
                <w:tab w:val="center" w:pos="4153"/>
                <w:tab w:val="right" w:pos="8306"/>
              </w:tabs>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成果范畴</w:t>
            </w:r>
          </w:p>
        </w:tc>
        <w:tc>
          <w:tcPr>
            <w:tcW w:w="893" w:type="dxa"/>
            <w:noWrap w:val="0"/>
            <w:vAlign w:val="top"/>
          </w:tcPr>
          <w:p w14:paraId="2F6C2B65">
            <w:pPr>
              <w:tabs>
                <w:tab w:val="center" w:pos="4153"/>
                <w:tab w:val="right" w:pos="8306"/>
              </w:tabs>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标准分</w:t>
            </w:r>
          </w:p>
        </w:tc>
      </w:tr>
      <w:tr w14:paraId="69BF4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62" w:type="dxa"/>
            <w:noWrap w:val="0"/>
            <w:vAlign w:val="center"/>
          </w:tcPr>
          <w:p w14:paraId="3A0766E1">
            <w:pPr>
              <w:tabs>
                <w:tab w:val="center" w:pos="4153"/>
                <w:tab w:val="right" w:pos="8306"/>
              </w:tabs>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国家公派出国留学</w:t>
            </w:r>
          </w:p>
        </w:tc>
        <w:tc>
          <w:tcPr>
            <w:tcW w:w="2711" w:type="dxa"/>
            <w:noWrap w:val="0"/>
            <w:vAlign w:val="top"/>
          </w:tcPr>
          <w:p w14:paraId="16B3DB94">
            <w:pPr>
              <w:tabs>
                <w:tab w:val="center" w:pos="4153"/>
                <w:tab w:val="right" w:pos="8306"/>
              </w:tabs>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获得国家公派出国留学资助并完成</w:t>
            </w:r>
          </w:p>
        </w:tc>
        <w:tc>
          <w:tcPr>
            <w:tcW w:w="893" w:type="dxa"/>
            <w:noWrap w:val="0"/>
            <w:vAlign w:val="top"/>
          </w:tcPr>
          <w:p w14:paraId="3966B542">
            <w:pPr>
              <w:tabs>
                <w:tab w:val="center" w:pos="4153"/>
                <w:tab w:val="right" w:pos="8306"/>
              </w:tabs>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rPr>
              <w:t>6</w:t>
            </w:r>
          </w:p>
        </w:tc>
      </w:tr>
      <w:tr w14:paraId="043F4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62" w:type="dxa"/>
            <w:noWrap w:val="0"/>
            <w:vAlign w:val="center"/>
          </w:tcPr>
          <w:p w14:paraId="1BC4F289">
            <w:pPr>
              <w:tabs>
                <w:tab w:val="center" w:pos="4153"/>
                <w:tab w:val="right" w:pos="8306"/>
              </w:tabs>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长期研学、实习项目</w:t>
            </w:r>
          </w:p>
        </w:tc>
        <w:tc>
          <w:tcPr>
            <w:tcW w:w="2711" w:type="dxa"/>
            <w:noWrap w:val="0"/>
            <w:vAlign w:val="top"/>
          </w:tcPr>
          <w:p w14:paraId="68247CA9">
            <w:pPr>
              <w:tabs>
                <w:tab w:val="center" w:pos="4153"/>
                <w:tab w:val="right" w:pos="8306"/>
              </w:tabs>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rPr>
              <w:t>9</w:t>
            </w:r>
            <w:r>
              <w:rPr>
                <w:rFonts w:hint="eastAsia" w:ascii="宋体" w:hAnsi="宋体" w:eastAsia="宋体" w:cs="宋体"/>
                <w:color w:val="auto"/>
                <w:sz w:val="20"/>
                <w:szCs w:val="20"/>
                <w:highlight w:val="none"/>
              </w:rPr>
              <w:t>个月以上</w:t>
            </w:r>
          </w:p>
        </w:tc>
        <w:tc>
          <w:tcPr>
            <w:tcW w:w="893" w:type="dxa"/>
            <w:noWrap w:val="0"/>
            <w:vAlign w:val="top"/>
          </w:tcPr>
          <w:p w14:paraId="5C9E38BD">
            <w:pPr>
              <w:tabs>
                <w:tab w:val="center" w:pos="4153"/>
                <w:tab w:val="right" w:pos="8306"/>
              </w:tabs>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rPr>
              <w:t>4</w:t>
            </w:r>
          </w:p>
        </w:tc>
      </w:tr>
      <w:tr w14:paraId="0BC21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62" w:type="dxa"/>
            <w:noWrap w:val="0"/>
            <w:vAlign w:val="top"/>
          </w:tcPr>
          <w:p w14:paraId="6783CF83">
            <w:pPr>
              <w:tabs>
                <w:tab w:val="center" w:pos="4153"/>
                <w:tab w:val="right" w:pos="8306"/>
              </w:tabs>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中期研学、实习项目</w:t>
            </w:r>
          </w:p>
        </w:tc>
        <w:tc>
          <w:tcPr>
            <w:tcW w:w="2711" w:type="dxa"/>
            <w:noWrap w:val="0"/>
            <w:vAlign w:val="top"/>
          </w:tcPr>
          <w:p w14:paraId="4B033E6C">
            <w:pPr>
              <w:tabs>
                <w:tab w:val="center" w:pos="4153"/>
                <w:tab w:val="right" w:pos="8306"/>
              </w:tabs>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rPr>
              <w:t>3</w:t>
            </w:r>
            <w:r>
              <w:rPr>
                <w:rFonts w:hint="eastAsia" w:ascii="宋体" w:hAnsi="宋体" w:eastAsia="宋体" w:cs="宋体"/>
                <w:color w:val="auto"/>
                <w:sz w:val="20"/>
                <w:szCs w:val="20"/>
                <w:highlight w:val="none"/>
              </w:rPr>
              <w:t>月以上，9个月以内</w:t>
            </w:r>
          </w:p>
        </w:tc>
        <w:tc>
          <w:tcPr>
            <w:tcW w:w="893" w:type="dxa"/>
            <w:noWrap w:val="0"/>
            <w:vAlign w:val="top"/>
          </w:tcPr>
          <w:p w14:paraId="5C7931A0">
            <w:pPr>
              <w:tabs>
                <w:tab w:val="center" w:pos="4153"/>
                <w:tab w:val="right" w:pos="8306"/>
              </w:tabs>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rPr>
              <w:t>1</w:t>
            </w:r>
          </w:p>
        </w:tc>
      </w:tr>
      <w:tr w14:paraId="55D20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62" w:type="dxa"/>
            <w:noWrap w:val="0"/>
            <w:vAlign w:val="center"/>
          </w:tcPr>
          <w:p w14:paraId="61B606EC">
            <w:pPr>
              <w:tabs>
                <w:tab w:val="center" w:pos="4153"/>
                <w:tab w:val="right" w:pos="8306"/>
              </w:tabs>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rPr>
              <w:t>短期研学、实习项目</w:t>
            </w:r>
          </w:p>
        </w:tc>
        <w:tc>
          <w:tcPr>
            <w:tcW w:w="2711" w:type="dxa"/>
            <w:noWrap w:val="0"/>
            <w:vAlign w:val="center"/>
          </w:tcPr>
          <w:p w14:paraId="226E28FA">
            <w:pPr>
              <w:tabs>
                <w:tab w:val="center" w:pos="4153"/>
                <w:tab w:val="right" w:pos="8306"/>
              </w:tabs>
              <w:jc w:val="left"/>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rPr>
              <w:t>英国帝国理工学院暑期项目，高水平国际研修交流项目（HIREP）</w:t>
            </w:r>
          </w:p>
        </w:tc>
        <w:tc>
          <w:tcPr>
            <w:tcW w:w="893" w:type="dxa"/>
            <w:noWrap w:val="0"/>
            <w:vAlign w:val="center"/>
          </w:tcPr>
          <w:p w14:paraId="7CB3EA06">
            <w:pPr>
              <w:tabs>
                <w:tab w:val="center" w:pos="4153"/>
                <w:tab w:val="right" w:pos="8306"/>
              </w:tabs>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rPr>
              <w:t>0.5</w:t>
            </w:r>
          </w:p>
        </w:tc>
      </w:tr>
    </w:tbl>
    <w:p w14:paraId="479D69AA">
      <w:pPr>
        <w:keepNext w:val="0"/>
        <w:keepLines w:val="0"/>
        <w:pageBreakBefore w:val="0"/>
        <w:widowControl w:val="0"/>
        <w:kinsoku/>
        <w:wordWrap/>
        <w:overflowPunct/>
        <w:topLinePunct w:val="0"/>
        <w:autoSpaceDE/>
        <w:autoSpaceDN/>
        <w:bidi w:val="0"/>
        <w:adjustRightInd/>
        <w:snapToGrid/>
        <w:spacing w:line="300" w:lineRule="auto"/>
        <w:ind w:left="0" w:leftChars="0" w:firstLine="400" w:firstLineChars="200"/>
        <w:textAlignment w:val="auto"/>
        <w:rPr>
          <w:rFonts w:hint="eastAsia" w:ascii="Times New Roman" w:hAnsi="Times New Roman" w:eastAsia="宋体" w:cstheme="majorEastAsia"/>
          <w:sz w:val="20"/>
          <w:szCs w:val="20"/>
          <w:highlight w:val="none"/>
          <w:lang w:val="en-US" w:eastAsia="zh-CN"/>
        </w:rPr>
      </w:pPr>
      <w:r>
        <w:rPr>
          <w:rFonts w:hint="eastAsia" w:ascii="Times New Roman" w:hAnsi="Times New Roman" w:eastAsia="宋体" w:cstheme="majorEastAsia"/>
          <w:sz w:val="20"/>
          <w:szCs w:val="20"/>
          <w:highlight w:val="none"/>
          <w:lang w:val="en-US" w:eastAsia="zh-CN"/>
        </w:rPr>
        <w:t>说明：</w:t>
      </w:r>
    </w:p>
    <w:p w14:paraId="5ACBA407">
      <w:pPr>
        <w:keepNext w:val="0"/>
        <w:keepLines w:val="0"/>
        <w:pageBreakBefore w:val="0"/>
        <w:widowControl w:val="0"/>
        <w:kinsoku/>
        <w:wordWrap/>
        <w:overflowPunct/>
        <w:topLinePunct w:val="0"/>
        <w:autoSpaceDE/>
        <w:autoSpaceDN/>
        <w:bidi w:val="0"/>
        <w:adjustRightInd/>
        <w:snapToGrid/>
        <w:spacing w:line="300" w:lineRule="auto"/>
        <w:ind w:left="0" w:leftChars="0" w:firstLine="400" w:firstLineChars="200"/>
        <w:textAlignment w:val="auto"/>
        <w:rPr>
          <w:rFonts w:hint="eastAsia" w:ascii="Times New Roman" w:hAnsi="Times New Roman" w:eastAsia="宋体" w:cstheme="majorEastAsia"/>
          <w:sz w:val="20"/>
          <w:szCs w:val="20"/>
          <w:highlight w:val="none"/>
          <w:lang w:val="en-US" w:eastAsia="zh-CN"/>
        </w:rPr>
      </w:pPr>
      <w:r>
        <w:rPr>
          <w:rFonts w:hint="eastAsia" w:ascii="Times New Roman" w:hAnsi="Times New Roman" w:eastAsia="宋体" w:cstheme="majorEastAsia"/>
          <w:sz w:val="20"/>
          <w:szCs w:val="20"/>
          <w:highlight w:val="none"/>
          <w:lang w:val="en-US" w:eastAsia="zh-CN"/>
        </w:rPr>
        <w:t>项目包括“国家公派出国留学研究生项目”和由学校或各学院、研究生导师负责进行推选、派出和管理的各种研究生境外研学、实习项目。相关规定参见《上海海事大学研究生创新人才培养项目管理办法》。</w:t>
      </w:r>
    </w:p>
    <w:p w14:paraId="35E90DB5">
      <w:pPr>
        <w:spacing w:line="360" w:lineRule="exact"/>
        <w:ind w:firstLine="420" w:firstLineChars="200"/>
        <w:rPr>
          <w:rFonts w:hint="eastAsia" w:ascii="宋体" w:hAnsi="宋体" w:cs="宋体"/>
          <w:color w:val="auto"/>
          <w:szCs w:val="21"/>
          <w:highlight w:val="none"/>
        </w:rPr>
      </w:pPr>
    </w:p>
    <w:p w14:paraId="78FD536F">
      <w:pPr>
        <w:spacing w:line="360" w:lineRule="exact"/>
        <w:ind w:firstLine="422"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w:t>
      </w:r>
      <w:r>
        <w:rPr>
          <w:rFonts w:hint="eastAsia" w:ascii="宋体" w:hAnsi="宋体" w:cs="宋体"/>
          <w:b/>
          <w:bCs/>
          <w:color w:val="auto"/>
          <w:szCs w:val="21"/>
          <w:highlight w:val="none"/>
          <w:lang w:val="en-US" w:eastAsia="zh-CN"/>
        </w:rPr>
        <w:t>6</w:t>
      </w:r>
      <w:r>
        <w:rPr>
          <w:rFonts w:hint="eastAsia" w:ascii="宋体" w:hAnsi="宋体" w:cs="宋体"/>
          <w:b/>
          <w:bCs/>
          <w:color w:val="auto"/>
          <w:szCs w:val="21"/>
          <w:highlight w:val="none"/>
        </w:rPr>
        <w:t>）学术会议报告计分标准（单位：分/项）</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47"/>
        <w:gridCol w:w="1446"/>
        <w:gridCol w:w="1026"/>
      </w:tblGrid>
      <w:tr w14:paraId="6C4CE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2847" w:type="dxa"/>
            <w:noWrap w:val="0"/>
            <w:vAlign w:val="top"/>
          </w:tcPr>
          <w:p w14:paraId="3DC3E5BA">
            <w:pPr>
              <w:tabs>
                <w:tab w:val="center" w:pos="4153"/>
                <w:tab w:val="right" w:pos="8306"/>
              </w:tabs>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成果种类</w:t>
            </w:r>
          </w:p>
        </w:tc>
        <w:tc>
          <w:tcPr>
            <w:tcW w:w="1446" w:type="dxa"/>
            <w:noWrap w:val="0"/>
            <w:vAlign w:val="top"/>
          </w:tcPr>
          <w:p w14:paraId="5E77BE28">
            <w:pPr>
              <w:tabs>
                <w:tab w:val="center" w:pos="4153"/>
                <w:tab w:val="right" w:pos="8306"/>
              </w:tabs>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成果范畴</w:t>
            </w:r>
          </w:p>
        </w:tc>
        <w:tc>
          <w:tcPr>
            <w:tcW w:w="1026" w:type="dxa"/>
            <w:noWrap w:val="0"/>
            <w:vAlign w:val="top"/>
          </w:tcPr>
          <w:p w14:paraId="7BFF3C39">
            <w:pPr>
              <w:tabs>
                <w:tab w:val="center" w:pos="4153"/>
                <w:tab w:val="right" w:pos="8306"/>
              </w:tabs>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标准分</w:t>
            </w:r>
          </w:p>
        </w:tc>
      </w:tr>
      <w:tr w14:paraId="4FF5A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47" w:type="dxa"/>
            <w:vMerge w:val="restart"/>
            <w:noWrap w:val="0"/>
            <w:vAlign w:val="center"/>
          </w:tcPr>
          <w:p w14:paraId="377CB230">
            <w:pPr>
              <w:tabs>
                <w:tab w:val="center" w:pos="4153"/>
                <w:tab w:val="right" w:pos="8306"/>
              </w:tabs>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shd w:val="clear" w:color="auto" w:fill="FFFFFF"/>
              </w:rPr>
              <w:t>国内外顶级学术会议</w:t>
            </w:r>
          </w:p>
        </w:tc>
        <w:tc>
          <w:tcPr>
            <w:tcW w:w="1446" w:type="dxa"/>
            <w:noWrap w:val="0"/>
            <w:vAlign w:val="top"/>
          </w:tcPr>
          <w:p w14:paraId="0FBB7A8F">
            <w:pPr>
              <w:tabs>
                <w:tab w:val="center" w:pos="4153"/>
                <w:tab w:val="right" w:pos="8306"/>
              </w:tabs>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大会报告</w:t>
            </w:r>
          </w:p>
        </w:tc>
        <w:tc>
          <w:tcPr>
            <w:tcW w:w="1026" w:type="dxa"/>
            <w:noWrap w:val="0"/>
            <w:vAlign w:val="top"/>
          </w:tcPr>
          <w:p w14:paraId="0E3908DE">
            <w:pPr>
              <w:tabs>
                <w:tab w:val="center" w:pos="4153"/>
                <w:tab w:val="right" w:pos="8306"/>
              </w:tabs>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8</w:t>
            </w:r>
          </w:p>
        </w:tc>
      </w:tr>
      <w:tr w14:paraId="67A56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47" w:type="dxa"/>
            <w:vMerge w:val="continue"/>
            <w:noWrap w:val="0"/>
            <w:vAlign w:val="center"/>
          </w:tcPr>
          <w:p w14:paraId="2ED16B65">
            <w:pPr>
              <w:tabs>
                <w:tab w:val="center" w:pos="4153"/>
                <w:tab w:val="right" w:pos="8306"/>
              </w:tabs>
              <w:jc w:val="center"/>
              <w:rPr>
                <w:rFonts w:hint="eastAsia" w:ascii="宋体" w:hAnsi="宋体" w:eastAsia="宋体" w:cs="宋体"/>
                <w:color w:val="auto"/>
                <w:sz w:val="20"/>
                <w:szCs w:val="20"/>
                <w:highlight w:val="none"/>
              </w:rPr>
            </w:pPr>
          </w:p>
        </w:tc>
        <w:tc>
          <w:tcPr>
            <w:tcW w:w="1446" w:type="dxa"/>
            <w:noWrap w:val="0"/>
            <w:vAlign w:val="top"/>
          </w:tcPr>
          <w:p w14:paraId="2F9ABB20">
            <w:pPr>
              <w:tabs>
                <w:tab w:val="center" w:pos="4153"/>
                <w:tab w:val="right" w:pos="8306"/>
              </w:tabs>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分会场报告</w:t>
            </w:r>
          </w:p>
        </w:tc>
        <w:tc>
          <w:tcPr>
            <w:tcW w:w="1026" w:type="dxa"/>
            <w:noWrap w:val="0"/>
            <w:vAlign w:val="top"/>
          </w:tcPr>
          <w:p w14:paraId="527D56C1">
            <w:pPr>
              <w:tabs>
                <w:tab w:val="center" w:pos="4153"/>
                <w:tab w:val="right" w:pos="8306"/>
              </w:tabs>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w:t>
            </w:r>
          </w:p>
        </w:tc>
      </w:tr>
      <w:tr w14:paraId="39279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47" w:type="dxa"/>
            <w:vMerge w:val="continue"/>
            <w:noWrap w:val="0"/>
            <w:vAlign w:val="top"/>
          </w:tcPr>
          <w:p w14:paraId="7FAE544F">
            <w:pPr>
              <w:tabs>
                <w:tab w:val="center" w:pos="4153"/>
                <w:tab w:val="right" w:pos="8306"/>
              </w:tabs>
              <w:jc w:val="center"/>
              <w:rPr>
                <w:rFonts w:hint="eastAsia" w:ascii="宋体" w:hAnsi="宋体" w:eastAsia="宋体" w:cs="宋体"/>
                <w:color w:val="auto"/>
                <w:sz w:val="20"/>
                <w:szCs w:val="20"/>
                <w:highlight w:val="none"/>
              </w:rPr>
            </w:pPr>
          </w:p>
        </w:tc>
        <w:tc>
          <w:tcPr>
            <w:tcW w:w="1446" w:type="dxa"/>
            <w:noWrap w:val="0"/>
            <w:vAlign w:val="top"/>
          </w:tcPr>
          <w:p w14:paraId="61031159">
            <w:pPr>
              <w:tabs>
                <w:tab w:val="center" w:pos="4153"/>
                <w:tab w:val="right" w:pos="8306"/>
              </w:tabs>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论文交流</w:t>
            </w:r>
          </w:p>
        </w:tc>
        <w:tc>
          <w:tcPr>
            <w:tcW w:w="1026" w:type="dxa"/>
            <w:noWrap w:val="0"/>
            <w:vAlign w:val="top"/>
          </w:tcPr>
          <w:p w14:paraId="0F6B6133">
            <w:pPr>
              <w:tabs>
                <w:tab w:val="center" w:pos="4153"/>
                <w:tab w:val="right" w:pos="8306"/>
              </w:tabs>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r>
      <w:tr w14:paraId="75900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47" w:type="dxa"/>
            <w:vMerge w:val="restart"/>
            <w:noWrap w:val="0"/>
            <w:vAlign w:val="center"/>
          </w:tcPr>
          <w:p w14:paraId="6D010C35">
            <w:pPr>
              <w:tabs>
                <w:tab w:val="center" w:pos="4153"/>
                <w:tab w:val="right" w:pos="8306"/>
              </w:tabs>
              <w:jc w:val="center"/>
              <w:rPr>
                <w:rFonts w:hint="eastAsia" w:ascii="宋体" w:hAnsi="宋体" w:eastAsia="宋体" w:cs="宋体"/>
                <w:color w:val="auto"/>
                <w:sz w:val="20"/>
                <w:szCs w:val="20"/>
                <w:highlight w:val="none"/>
                <w:shd w:val="clear" w:color="auto" w:fill="FFFFFF"/>
              </w:rPr>
            </w:pPr>
            <w:r>
              <w:rPr>
                <w:rFonts w:hint="eastAsia" w:ascii="宋体" w:hAnsi="宋体" w:eastAsia="宋体" w:cs="宋体"/>
                <w:color w:val="auto"/>
                <w:sz w:val="20"/>
                <w:szCs w:val="20"/>
                <w:highlight w:val="none"/>
                <w:shd w:val="clear" w:color="auto" w:fill="FFFFFF"/>
              </w:rPr>
              <w:t>其它国际性、全国性学术会议</w:t>
            </w:r>
          </w:p>
        </w:tc>
        <w:tc>
          <w:tcPr>
            <w:tcW w:w="1446" w:type="dxa"/>
            <w:noWrap w:val="0"/>
            <w:vAlign w:val="top"/>
          </w:tcPr>
          <w:p w14:paraId="7C4D4BE3">
            <w:pPr>
              <w:tabs>
                <w:tab w:val="center" w:pos="4153"/>
                <w:tab w:val="right" w:pos="8306"/>
              </w:tabs>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大会报告</w:t>
            </w:r>
          </w:p>
        </w:tc>
        <w:tc>
          <w:tcPr>
            <w:tcW w:w="1026" w:type="dxa"/>
            <w:noWrap w:val="0"/>
            <w:vAlign w:val="top"/>
          </w:tcPr>
          <w:p w14:paraId="5B390C20">
            <w:pPr>
              <w:tabs>
                <w:tab w:val="center" w:pos="4153"/>
                <w:tab w:val="right" w:pos="8306"/>
              </w:tabs>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r>
      <w:tr w14:paraId="163EE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47" w:type="dxa"/>
            <w:vMerge w:val="continue"/>
            <w:noWrap w:val="0"/>
            <w:vAlign w:val="center"/>
          </w:tcPr>
          <w:p w14:paraId="776D24C9">
            <w:pPr>
              <w:tabs>
                <w:tab w:val="center" w:pos="4153"/>
                <w:tab w:val="right" w:pos="8306"/>
              </w:tabs>
              <w:jc w:val="center"/>
              <w:rPr>
                <w:rFonts w:hint="eastAsia" w:ascii="宋体" w:hAnsi="宋体" w:eastAsia="宋体" w:cs="宋体"/>
                <w:color w:val="auto"/>
                <w:sz w:val="20"/>
                <w:szCs w:val="20"/>
                <w:highlight w:val="none"/>
              </w:rPr>
            </w:pPr>
          </w:p>
        </w:tc>
        <w:tc>
          <w:tcPr>
            <w:tcW w:w="1446" w:type="dxa"/>
            <w:noWrap w:val="0"/>
            <w:vAlign w:val="top"/>
          </w:tcPr>
          <w:p w14:paraId="6728F463">
            <w:pPr>
              <w:tabs>
                <w:tab w:val="center" w:pos="4153"/>
                <w:tab w:val="right" w:pos="8306"/>
              </w:tabs>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分会场报告</w:t>
            </w:r>
          </w:p>
        </w:tc>
        <w:tc>
          <w:tcPr>
            <w:tcW w:w="1026" w:type="dxa"/>
            <w:noWrap w:val="0"/>
            <w:vAlign w:val="top"/>
          </w:tcPr>
          <w:p w14:paraId="7F2DDD4D">
            <w:pPr>
              <w:tabs>
                <w:tab w:val="center" w:pos="4153"/>
                <w:tab w:val="right" w:pos="8306"/>
              </w:tabs>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w:t>
            </w:r>
          </w:p>
        </w:tc>
      </w:tr>
    </w:tbl>
    <w:p w14:paraId="044D633C">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说明：</w:t>
      </w:r>
    </w:p>
    <w:p w14:paraId="4C60A650">
      <w:pPr>
        <w:keepNext w:val="0"/>
        <w:keepLines w:val="0"/>
        <w:pageBreakBefore w:val="0"/>
        <w:widowControl w:val="0"/>
        <w:kinsoku/>
        <w:wordWrap/>
        <w:overflowPunct/>
        <w:topLinePunct w:val="0"/>
        <w:autoSpaceDE/>
        <w:autoSpaceDN/>
        <w:bidi w:val="0"/>
        <w:adjustRightInd/>
        <w:snapToGrid/>
        <w:spacing w:line="300" w:lineRule="auto"/>
        <w:ind w:left="0" w:leftChars="0" w:firstLine="400" w:firstLineChars="200"/>
        <w:textAlignment w:val="auto"/>
        <w:rPr>
          <w:rFonts w:hint="eastAsia" w:ascii="Times New Roman" w:hAnsi="Times New Roman" w:eastAsia="宋体" w:cstheme="majorEastAsia"/>
          <w:sz w:val="20"/>
          <w:szCs w:val="20"/>
          <w:highlight w:val="none"/>
          <w:lang w:val="en-US" w:eastAsia="zh-CN"/>
        </w:rPr>
      </w:pPr>
      <w:r>
        <w:rPr>
          <w:rFonts w:hint="eastAsia" w:ascii="Times New Roman" w:hAnsi="Times New Roman" w:eastAsia="宋体" w:cstheme="majorEastAsia"/>
          <w:sz w:val="20"/>
          <w:szCs w:val="20"/>
          <w:highlight w:val="none"/>
          <w:lang w:val="en-US" w:eastAsia="zh-CN"/>
        </w:rPr>
        <w:t>①国内外顶级学术会议的认定范围参见“关于公布《上海海事大学科技工作量计算办法》中所涉国内外顶级学术会议目录的通知”（科字〔2020〕5号）。</w:t>
      </w:r>
    </w:p>
    <w:p w14:paraId="21D2A3AA">
      <w:pPr>
        <w:keepNext w:val="0"/>
        <w:keepLines w:val="0"/>
        <w:pageBreakBefore w:val="0"/>
        <w:widowControl w:val="0"/>
        <w:kinsoku/>
        <w:wordWrap/>
        <w:overflowPunct/>
        <w:topLinePunct w:val="0"/>
        <w:autoSpaceDE/>
        <w:autoSpaceDN/>
        <w:bidi w:val="0"/>
        <w:adjustRightInd/>
        <w:snapToGrid/>
        <w:spacing w:line="300" w:lineRule="auto"/>
        <w:ind w:left="0" w:leftChars="0" w:firstLine="400" w:firstLineChars="200"/>
        <w:textAlignment w:val="auto"/>
        <w:rPr>
          <w:rFonts w:hint="eastAsia" w:ascii="Times New Roman" w:hAnsi="Times New Roman" w:eastAsia="宋体" w:cstheme="majorEastAsia"/>
          <w:sz w:val="20"/>
          <w:szCs w:val="20"/>
          <w:highlight w:val="none"/>
          <w:lang w:val="en-US" w:eastAsia="zh-CN"/>
        </w:rPr>
      </w:pPr>
      <w:r>
        <w:rPr>
          <w:rFonts w:hint="eastAsia" w:ascii="Times New Roman" w:hAnsi="Times New Roman" w:eastAsia="宋体" w:cstheme="majorEastAsia"/>
          <w:sz w:val="20"/>
          <w:szCs w:val="20"/>
          <w:highlight w:val="none"/>
          <w:lang w:val="en-US" w:eastAsia="zh-CN"/>
        </w:rPr>
        <w:t>②对于“其它国际性、全国性学术会议”，各学位评定分委会可制定认定范围名单。如发生异议的情况，由各学位评定分委会裁定。</w:t>
      </w:r>
    </w:p>
    <w:p w14:paraId="49A52E1D">
      <w:pPr>
        <w:keepNext w:val="0"/>
        <w:keepLines w:val="0"/>
        <w:pageBreakBefore w:val="0"/>
        <w:widowControl w:val="0"/>
        <w:kinsoku/>
        <w:wordWrap/>
        <w:overflowPunct/>
        <w:topLinePunct w:val="0"/>
        <w:autoSpaceDE/>
        <w:autoSpaceDN/>
        <w:bidi w:val="0"/>
        <w:adjustRightInd/>
        <w:snapToGrid/>
        <w:spacing w:line="300" w:lineRule="auto"/>
        <w:ind w:left="0" w:leftChars="0" w:firstLine="400" w:firstLineChars="200"/>
        <w:textAlignment w:val="auto"/>
        <w:rPr>
          <w:rFonts w:hint="eastAsia" w:ascii="Times New Roman" w:hAnsi="Times New Roman" w:eastAsia="宋体" w:cstheme="majorEastAsia"/>
          <w:sz w:val="20"/>
          <w:szCs w:val="20"/>
          <w:highlight w:val="none"/>
          <w:lang w:val="en-US" w:eastAsia="zh-CN"/>
        </w:rPr>
      </w:pPr>
      <w:r>
        <w:rPr>
          <w:rFonts w:hint="eastAsia" w:ascii="Times New Roman" w:hAnsi="Times New Roman" w:eastAsia="宋体" w:cstheme="majorEastAsia"/>
          <w:sz w:val="20"/>
          <w:szCs w:val="20"/>
          <w:highlight w:val="none"/>
          <w:lang w:val="en-US" w:eastAsia="zh-CN"/>
        </w:rPr>
        <w:t>③学术会议报告成果须提供会议影像资料、会议报道或经导师、学院认定的证明材料。</w:t>
      </w:r>
    </w:p>
    <w:p w14:paraId="5FC1F7FF">
      <w:pPr>
        <w:spacing w:line="360" w:lineRule="exact"/>
        <w:ind w:firstLine="400" w:firstLineChars="200"/>
        <w:rPr>
          <w:rFonts w:hint="eastAsia" w:ascii="Times New Roman" w:hAnsi="Times New Roman" w:eastAsia="宋体" w:cstheme="majorEastAsia"/>
          <w:sz w:val="20"/>
          <w:szCs w:val="20"/>
          <w:highlight w:val="none"/>
          <w:lang w:val="en-US" w:eastAsia="zh-CN"/>
        </w:rPr>
      </w:pPr>
    </w:p>
    <w:p w14:paraId="593E3A9A">
      <w:pPr>
        <w:spacing w:line="360" w:lineRule="exact"/>
        <w:ind w:firstLine="422"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w:t>
      </w:r>
      <w:r>
        <w:rPr>
          <w:rFonts w:hint="eastAsia" w:ascii="宋体" w:hAnsi="宋体" w:cs="宋体"/>
          <w:b/>
          <w:bCs/>
          <w:color w:val="auto"/>
          <w:szCs w:val="21"/>
          <w:highlight w:val="none"/>
          <w:lang w:val="en-US" w:eastAsia="zh-CN"/>
        </w:rPr>
        <w:t>7</w:t>
      </w:r>
      <w:r>
        <w:rPr>
          <w:rFonts w:hint="eastAsia" w:ascii="宋体" w:hAnsi="宋体" w:cs="宋体"/>
          <w:b/>
          <w:bCs/>
          <w:color w:val="auto"/>
          <w:szCs w:val="21"/>
          <w:highlight w:val="none"/>
        </w:rPr>
        <w:t>）学术论文计分标准（单位：分/篇）</w:t>
      </w:r>
    </w:p>
    <w:tbl>
      <w:tblPr>
        <w:tblStyle w:val="6"/>
        <w:tblpPr w:leftFromText="180" w:rightFromText="180" w:vertAnchor="text" w:horzAnchor="page" w:tblpXSpec="center" w:tblpY="184"/>
        <w:tblOverlap w:val="never"/>
        <w:tblW w:w="530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8"/>
        <w:gridCol w:w="549"/>
        <w:gridCol w:w="6762"/>
        <w:gridCol w:w="885"/>
      </w:tblGrid>
      <w:tr w14:paraId="392CA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48" w:type="dxa"/>
            <w:noWrap w:val="0"/>
            <w:vAlign w:val="top"/>
          </w:tcPr>
          <w:p w14:paraId="7714C021">
            <w:pPr>
              <w:keepNext w:val="0"/>
              <w:keepLines w:val="0"/>
              <w:pageBreakBefore w:val="0"/>
              <w:widowControl w:val="0"/>
              <w:tabs>
                <w:tab w:val="center" w:pos="4153"/>
                <w:tab w:val="right" w:pos="8306"/>
              </w:tabs>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成果种类</w:t>
            </w:r>
          </w:p>
        </w:tc>
        <w:tc>
          <w:tcPr>
            <w:tcW w:w="7311" w:type="dxa"/>
            <w:gridSpan w:val="2"/>
            <w:noWrap w:val="0"/>
            <w:vAlign w:val="center"/>
          </w:tcPr>
          <w:p w14:paraId="4E8B81B8">
            <w:pPr>
              <w:keepNext w:val="0"/>
              <w:keepLines w:val="0"/>
              <w:pageBreakBefore w:val="0"/>
              <w:widowControl w:val="0"/>
              <w:tabs>
                <w:tab w:val="center" w:pos="4153"/>
                <w:tab w:val="right" w:pos="8306"/>
              </w:tabs>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成果范畴</w:t>
            </w:r>
          </w:p>
        </w:tc>
        <w:tc>
          <w:tcPr>
            <w:tcW w:w="885" w:type="dxa"/>
            <w:noWrap w:val="0"/>
            <w:vAlign w:val="top"/>
          </w:tcPr>
          <w:p w14:paraId="40012905">
            <w:pPr>
              <w:keepNext w:val="0"/>
              <w:keepLines w:val="0"/>
              <w:pageBreakBefore w:val="0"/>
              <w:widowControl w:val="0"/>
              <w:tabs>
                <w:tab w:val="center" w:pos="4153"/>
                <w:tab w:val="right" w:pos="8306"/>
              </w:tabs>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标准分</w:t>
            </w:r>
          </w:p>
        </w:tc>
      </w:tr>
      <w:tr w14:paraId="1D35E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8" w:type="dxa"/>
            <w:vMerge w:val="restart"/>
            <w:noWrap w:val="0"/>
            <w:vAlign w:val="center"/>
          </w:tcPr>
          <w:p w14:paraId="38789906">
            <w:pPr>
              <w:keepNext w:val="0"/>
              <w:keepLines w:val="0"/>
              <w:pageBreakBefore w:val="0"/>
              <w:widowControl w:val="0"/>
              <w:tabs>
                <w:tab w:val="center" w:pos="4153"/>
                <w:tab w:val="right" w:pos="8306"/>
              </w:tabs>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学术论文</w:t>
            </w:r>
          </w:p>
        </w:tc>
        <w:tc>
          <w:tcPr>
            <w:tcW w:w="549" w:type="dxa"/>
            <w:vMerge w:val="restart"/>
            <w:noWrap w:val="0"/>
            <w:vAlign w:val="center"/>
          </w:tcPr>
          <w:p w14:paraId="6E9168F4">
            <w:pPr>
              <w:keepNext w:val="0"/>
              <w:keepLines w:val="0"/>
              <w:pageBreakBefore w:val="0"/>
              <w:widowControl w:val="0"/>
              <w:tabs>
                <w:tab w:val="center" w:pos="4153"/>
                <w:tab w:val="right" w:pos="8306"/>
              </w:tabs>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A类</w:t>
            </w:r>
          </w:p>
        </w:tc>
        <w:tc>
          <w:tcPr>
            <w:tcW w:w="6762" w:type="dxa"/>
            <w:noWrap w:val="0"/>
            <w:vAlign w:val="top"/>
          </w:tcPr>
          <w:p w14:paraId="2F3AB69D">
            <w:pPr>
              <w:keepNext w:val="0"/>
              <w:keepLines w:val="0"/>
              <w:pageBreakBefore w:val="0"/>
              <w:widowControl w:val="0"/>
              <w:tabs>
                <w:tab w:val="center" w:pos="4153"/>
                <w:tab w:val="right" w:pos="8306"/>
              </w:tabs>
              <w:kinsoku/>
              <w:wordWrap/>
              <w:overflowPunct/>
              <w:topLinePunct w:val="0"/>
              <w:autoSpaceDE/>
              <w:autoSpaceDN/>
              <w:bidi w:val="0"/>
              <w:adjustRightInd/>
              <w:snapToGrid/>
              <w:spacing w:line="260" w:lineRule="exact"/>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A0：ESI高被引或热点论文；求是；国家级批示（主要领导）</w:t>
            </w:r>
          </w:p>
        </w:tc>
        <w:tc>
          <w:tcPr>
            <w:tcW w:w="885" w:type="dxa"/>
            <w:noWrap w:val="0"/>
            <w:vAlign w:val="center"/>
          </w:tcPr>
          <w:p w14:paraId="4B2F0F0C">
            <w:pPr>
              <w:keepNext w:val="0"/>
              <w:keepLines w:val="0"/>
              <w:pageBreakBefore w:val="0"/>
              <w:widowControl w:val="0"/>
              <w:tabs>
                <w:tab w:val="center" w:pos="4153"/>
                <w:tab w:val="right" w:pos="8306"/>
              </w:tabs>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26</w:t>
            </w:r>
          </w:p>
        </w:tc>
      </w:tr>
      <w:tr w14:paraId="6B373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8" w:type="dxa"/>
            <w:vMerge w:val="continue"/>
            <w:noWrap w:val="0"/>
            <w:vAlign w:val="top"/>
          </w:tcPr>
          <w:p w14:paraId="083700A8">
            <w:pPr>
              <w:keepNext w:val="0"/>
              <w:keepLines w:val="0"/>
              <w:pageBreakBefore w:val="0"/>
              <w:widowControl w:val="0"/>
              <w:tabs>
                <w:tab w:val="center" w:pos="4153"/>
                <w:tab w:val="right" w:pos="8306"/>
              </w:tabs>
              <w:kinsoku/>
              <w:wordWrap/>
              <w:overflowPunct/>
              <w:topLinePunct w:val="0"/>
              <w:autoSpaceDE/>
              <w:autoSpaceDN/>
              <w:bidi w:val="0"/>
              <w:adjustRightInd/>
              <w:snapToGrid/>
              <w:spacing w:line="260" w:lineRule="exact"/>
              <w:textAlignment w:val="auto"/>
              <w:rPr>
                <w:rFonts w:hint="eastAsia" w:ascii="宋体" w:hAnsi="宋体" w:eastAsia="宋体" w:cs="宋体"/>
                <w:color w:val="auto"/>
                <w:sz w:val="18"/>
                <w:szCs w:val="18"/>
                <w:highlight w:val="none"/>
              </w:rPr>
            </w:pPr>
          </w:p>
        </w:tc>
        <w:tc>
          <w:tcPr>
            <w:tcW w:w="549" w:type="dxa"/>
            <w:vMerge w:val="continue"/>
            <w:noWrap w:val="0"/>
            <w:vAlign w:val="top"/>
          </w:tcPr>
          <w:p w14:paraId="637E0C0F">
            <w:pPr>
              <w:keepNext w:val="0"/>
              <w:keepLines w:val="0"/>
              <w:pageBreakBefore w:val="0"/>
              <w:widowControl w:val="0"/>
              <w:tabs>
                <w:tab w:val="center" w:pos="4153"/>
                <w:tab w:val="right" w:pos="8306"/>
              </w:tabs>
              <w:kinsoku/>
              <w:wordWrap/>
              <w:overflowPunct/>
              <w:topLinePunct w:val="0"/>
              <w:autoSpaceDE/>
              <w:autoSpaceDN/>
              <w:bidi w:val="0"/>
              <w:adjustRightInd/>
              <w:snapToGrid/>
              <w:spacing w:line="260" w:lineRule="exact"/>
              <w:textAlignment w:val="auto"/>
              <w:rPr>
                <w:rFonts w:hint="eastAsia" w:ascii="宋体" w:hAnsi="宋体" w:eastAsia="宋体" w:cs="宋体"/>
                <w:color w:val="auto"/>
                <w:sz w:val="18"/>
                <w:szCs w:val="18"/>
                <w:highlight w:val="none"/>
              </w:rPr>
            </w:pPr>
          </w:p>
        </w:tc>
        <w:tc>
          <w:tcPr>
            <w:tcW w:w="6762" w:type="dxa"/>
            <w:noWrap w:val="0"/>
            <w:vAlign w:val="top"/>
          </w:tcPr>
          <w:p w14:paraId="6A37CD4C">
            <w:pPr>
              <w:keepNext w:val="0"/>
              <w:keepLines w:val="0"/>
              <w:pageBreakBefore w:val="0"/>
              <w:widowControl w:val="0"/>
              <w:tabs>
                <w:tab w:val="center" w:pos="4153"/>
                <w:tab w:val="right" w:pos="8306"/>
              </w:tabs>
              <w:kinsoku/>
              <w:wordWrap/>
              <w:overflowPunct/>
              <w:topLinePunct w:val="0"/>
              <w:autoSpaceDE/>
              <w:autoSpaceDN/>
              <w:bidi w:val="0"/>
              <w:adjustRightInd/>
              <w:snapToGrid/>
              <w:spacing w:line="260" w:lineRule="exact"/>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A1：SCI，SSCI一区论文；UT/DALLAS 界定的24种期刊上发表的论文；中国社会科学（中文版）；领军期刊；国家级批示（其他）</w:t>
            </w:r>
          </w:p>
        </w:tc>
        <w:tc>
          <w:tcPr>
            <w:tcW w:w="885" w:type="dxa"/>
            <w:noWrap w:val="0"/>
            <w:vAlign w:val="center"/>
          </w:tcPr>
          <w:p w14:paraId="256DA38B">
            <w:pPr>
              <w:keepNext w:val="0"/>
              <w:keepLines w:val="0"/>
              <w:pageBreakBefore w:val="0"/>
              <w:widowControl w:val="0"/>
              <w:tabs>
                <w:tab w:val="center" w:pos="4153"/>
                <w:tab w:val="right" w:pos="8306"/>
              </w:tabs>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20</w:t>
            </w:r>
          </w:p>
        </w:tc>
      </w:tr>
      <w:tr w14:paraId="5583B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8" w:type="dxa"/>
            <w:vMerge w:val="continue"/>
            <w:noWrap w:val="0"/>
            <w:vAlign w:val="top"/>
          </w:tcPr>
          <w:p w14:paraId="2048C14F">
            <w:pPr>
              <w:keepNext w:val="0"/>
              <w:keepLines w:val="0"/>
              <w:pageBreakBefore w:val="0"/>
              <w:widowControl w:val="0"/>
              <w:tabs>
                <w:tab w:val="center" w:pos="4153"/>
                <w:tab w:val="right" w:pos="8306"/>
              </w:tabs>
              <w:kinsoku/>
              <w:wordWrap/>
              <w:overflowPunct/>
              <w:topLinePunct w:val="0"/>
              <w:autoSpaceDE/>
              <w:autoSpaceDN/>
              <w:bidi w:val="0"/>
              <w:adjustRightInd/>
              <w:snapToGrid/>
              <w:spacing w:line="260" w:lineRule="exact"/>
              <w:textAlignment w:val="auto"/>
              <w:rPr>
                <w:rFonts w:hint="eastAsia" w:ascii="宋体" w:hAnsi="宋体" w:eastAsia="宋体" w:cs="宋体"/>
                <w:color w:val="auto"/>
                <w:sz w:val="18"/>
                <w:szCs w:val="18"/>
                <w:highlight w:val="none"/>
              </w:rPr>
            </w:pPr>
          </w:p>
        </w:tc>
        <w:tc>
          <w:tcPr>
            <w:tcW w:w="549" w:type="dxa"/>
            <w:vMerge w:val="continue"/>
            <w:noWrap w:val="0"/>
            <w:vAlign w:val="top"/>
          </w:tcPr>
          <w:p w14:paraId="7D59557C">
            <w:pPr>
              <w:keepNext w:val="0"/>
              <w:keepLines w:val="0"/>
              <w:pageBreakBefore w:val="0"/>
              <w:widowControl w:val="0"/>
              <w:tabs>
                <w:tab w:val="center" w:pos="4153"/>
                <w:tab w:val="right" w:pos="8306"/>
              </w:tabs>
              <w:kinsoku/>
              <w:wordWrap/>
              <w:overflowPunct/>
              <w:topLinePunct w:val="0"/>
              <w:autoSpaceDE/>
              <w:autoSpaceDN/>
              <w:bidi w:val="0"/>
              <w:adjustRightInd/>
              <w:snapToGrid/>
              <w:spacing w:line="260" w:lineRule="exact"/>
              <w:textAlignment w:val="auto"/>
              <w:rPr>
                <w:rFonts w:hint="eastAsia" w:ascii="宋体" w:hAnsi="宋体" w:eastAsia="宋体" w:cs="宋体"/>
                <w:color w:val="auto"/>
                <w:sz w:val="18"/>
                <w:szCs w:val="18"/>
                <w:highlight w:val="none"/>
              </w:rPr>
            </w:pPr>
          </w:p>
        </w:tc>
        <w:tc>
          <w:tcPr>
            <w:tcW w:w="6762" w:type="dxa"/>
            <w:noWrap w:val="0"/>
            <w:vAlign w:val="top"/>
          </w:tcPr>
          <w:p w14:paraId="05688EF8">
            <w:pPr>
              <w:keepNext w:val="0"/>
              <w:keepLines w:val="0"/>
              <w:pageBreakBefore w:val="0"/>
              <w:widowControl w:val="0"/>
              <w:tabs>
                <w:tab w:val="center" w:pos="4153"/>
                <w:tab w:val="right" w:pos="8306"/>
              </w:tabs>
              <w:kinsoku/>
              <w:wordWrap/>
              <w:overflowPunct/>
              <w:topLinePunct w:val="0"/>
              <w:autoSpaceDE/>
              <w:autoSpaceDN/>
              <w:bidi w:val="0"/>
              <w:adjustRightInd/>
              <w:snapToGrid/>
              <w:spacing w:line="260" w:lineRule="exact"/>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A2：SCI，SSCI二区论文；重点类期刊；《新华文摘》（封面标题论文）</w:t>
            </w:r>
          </w:p>
        </w:tc>
        <w:tc>
          <w:tcPr>
            <w:tcW w:w="885" w:type="dxa"/>
            <w:noWrap w:val="0"/>
            <w:vAlign w:val="center"/>
          </w:tcPr>
          <w:p w14:paraId="49669C26">
            <w:pPr>
              <w:keepNext w:val="0"/>
              <w:keepLines w:val="0"/>
              <w:pageBreakBefore w:val="0"/>
              <w:widowControl w:val="0"/>
              <w:tabs>
                <w:tab w:val="center" w:pos="4153"/>
                <w:tab w:val="right" w:pos="8306"/>
              </w:tabs>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16</w:t>
            </w:r>
          </w:p>
        </w:tc>
      </w:tr>
      <w:tr w14:paraId="35754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8" w:type="dxa"/>
            <w:vMerge w:val="continue"/>
            <w:noWrap w:val="0"/>
            <w:vAlign w:val="top"/>
          </w:tcPr>
          <w:p w14:paraId="6A93A245">
            <w:pPr>
              <w:keepNext w:val="0"/>
              <w:keepLines w:val="0"/>
              <w:pageBreakBefore w:val="0"/>
              <w:widowControl w:val="0"/>
              <w:tabs>
                <w:tab w:val="center" w:pos="4153"/>
                <w:tab w:val="right" w:pos="8306"/>
              </w:tabs>
              <w:kinsoku/>
              <w:wordWrap/>
              <w:overflowPunct/>
              <w:topLinePunct w:val="0"/>
              <w:autoSpaceDE/>
              <w:autoSpaceDN/>
              <w:bidi w:val="0"/>
              <w:adjustRightInd/>
              <w:snapToGrid/>
              <w:spacing w:line="260" w:lineRule="exact"/>
              <w:textAlignment w:val="auto"/>
              <w:rPr>
                <w:rFonts w:hint="eastAsia" w:ascii="宋体" w:hAnsi="宋体" w:eastAsia="宋体" w:cs="宋体"/>
                <w:color w:val="auto"/>
                <w:sz w:val="18"/>
                <w:szCs w:val="18"/>
                <w:highlight w:val="none"/>
              </w:rPr>
            </w:pPr>
          </w:p>
        </w:tc>
        <w:tc>
          <w:tcPr>
            <w:tcW w:w="549" w:type="dxa"/>
            <w:vMerge w:val="continue"/>
            <w:noWrap w:val="0"/>
            <w:vAlign w:val="top"/>
          </w:tcPr>
          <w:p w14:paraId="6E212E9C">
            <w:pPr>
              <w:keepNext w:val="0"/>
              <w:keepLines w:val="0"/>
              <w:pageBreakBefore w:val="0"/>
              <w:widowControl w:val="0"/>
              <w:tabs>
                <w:tab w:val="center" w:pos="4153"/>
                <w:tab w:val="right" w:pos="8306"/>
              </w:tabs>
              <w:kinsoku/>
              <w:wordWrap/>
              <w:overflowPunct/>
              <w:topLinePunct w:val="0"/>
              <w:autoSpaceDE/>
              <w:autoSpaceDN/>
              <w:bidi w:val="0"/>
              <w:adjustRightInd/>
              <w:snapToGrid/>
              <w:spacing w:line="260" w:lineRule="exact"/>
              <w:textAlignment w:val="auto"/>
              <w:rPr>
                <w:rFonts w:hint="eastAsia" w:ascii="宋体" w:hAnsi="宋体" w:eastAsia="宋体" w:cs="宋体"/>
                <w:color w:val="auto"/>
                <w:sz w:val="18"/>
                <w:szCs w:val="18"/>
                <w:highlight w:val="none"/>
              </w:rPr>
            </w:pPr>
          </w:p>
        </w:tc>
        <w:tc>
          <w:tcPr>
            <w:tcW w:w="6762" w:type="dxa"/>
            <w:noWrap w:val="0"/>
            <w:vAlign w:val="top"/>
          </w:tcPr>
          <w:p w14:paraId="36E3FBBC">
            <w:pPr>
              <w:keepNext w:val="0"/>
              <w:keepLines w:val="0"/>
              <w:pageBreakBefore w:val="0"/>
              <w:widowControl w:val="0"/>
              <w:tabs>
                <w:tab w:val="center" w:pos="4153"/>
                <w:tab w:val="right" w:pos="8306"/>
              </w:tabs>
              <w:kinsoku/>
              <w:wordWrap/>
              <w:overflowPunct/>
              <w:topLinePunct w:val="0"/>
              <w:autoSpaceDE/>
              <w:autoSpaceDN/>
              <w:bidi w:val="0"/>
              <w:adjustRightInd/>
              <w:snapToGrid/>
              <w:spacing w:line="260" w:lineRule="exact"/>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A3：SCI，SSCI三区论文；梯队期刊；中国社会科学（外文版）；省部级批示（其他）；主要内容被《新华文摘》转载的（不含论点摘编）学术论文</w:t>
            </w:r>
          </w:p>
        </w:tc>
        <w:tc>
          <w:tcPr>
            <w:tcW w:w="885" w:type="dxa"/>
            <w:noWrap w:val="0"/>
            <w:vAlign w:val="center"/>
          </w:tcPr>
          <w:p w14:paraId="4873FFDC">
            <w:pPr>
              <w:keepNext w:val="0"/>
              <w:keepLines w:val="0"/>
              <w:pageBreakBefore w:val="0"/>
              <w:widowControl w:val="0"/>
              <w:tabs>
                <w:tab w:val="center" w:pos="4153"/>
                <w:tab w:val="right" w:pos="8306"/>
              </w:tabs>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12</w:t>
            </w:r>
          </w:p>
        </w:tc>
      </w:tr>
      <w:tr w14:paraId="2BE9D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8" w:type="dxa"/>
            <w:vMerge w:val="continue"/>
            <w:noWrap w:val="0"/>
            <w:vAlign w:val="top"/>
          </w:tcPr>
          <w:p w14:paraId="4BA056BA">
            <w:pPr>
              <w:keepNext w:val="0"/>
              <w:keepLines w:val="0"/>
              <w:pageBreakBefore w:val="0"/>
              <w:widowControl w:val="0"/>
              <w:tabs>
                <w:tab w:val="center" w:pos="4153"/>
                <w:tab w:val="right" w:pos="8306"/>
              </w:tabs>
              <w:kinsoku/>
              <w:wordWrap/>
              <w:overflowPunct/>
              <w:topLinePunct w:val="0"/>
              <w:autoSpaceDE/>
              <w:autoSpaceDN/>
              <w:bidi w:val="0"/>
              <w:adjustRightInd/>
              <w:snapToGrid/>
              <w:spacing w:line="260" w:lineRule="exact"/>
              <w:textAlignment w:val="auto"/>
              <w:rPr>
                <w:rFonts w:hint="eastAsia" w:ascii="宋体" w:hAnsi="宋体" w:eastAsia="宋体" w:cs="宋体"/>
                <w:color w:val="auto"/>
                <w:sz w:val="18"/>
                <w:szCs w:val="18"/>
                <w:highlight w:val="none"/>
              </w:rPr>
            </w:pPr>
          </w:p>
        </w:tc>
        <w:tc>
          <w:tcPr>
            <w:tcW w:w="549" w:type="dxa"/>
            <w:vMerge w:val="continue"/>
            <w:noWrap w:val="0"/>
            <w:vAlign w:val="top"/>
          </w:tcPr>
          <w:p w14:paraId="5636DC0F">
            <w:pPr>
              <w:keepNext w:val="0"/>
              <w:keepLines w:val="0"/>
              <w:pageBreakBefore w:val="0"/>
              <w:widowControl w:val="0"/>
              <w:tabs>
                <w:tab w:val="center" w:pos="4153"/>
                <w:tab w:val="right" w:pos="8306"/>
              </w:tabs>
              <w:kinsoku/>
              <w:wordWrap/>
              <w:overflowPunct/>
              <w:topLinePunct w:val="0"/>
              <w:autoSpaceDE/>
              <w:autoSpaceDN/>
              <w:bidi w:val="0"/>
              <w:adjustRightInd/>
              <w:snapToGrid/>
              <w:spacing w:line="260" w:lineRule="exact"/>
              <w:textAlignment w:val="auto"/>
              <w:rPr>
                <w:rFonts w:hint="eastAsia" w:ascii="宋体" w:hAnsi="宋体" w:eastAsia="宋体" w:cs="宋体"/>
                <w:color w:val="auto"/>
                <w:sz w:val="18"/>
                <w:szCs w:val="18"/>
                <w:highlight w:val="none"/>
              </w:rPr>
            </w:pPr>
          </w:p>
        </w:tc>
        <w:tc>
          <w:tcPr>
            <w:tcW w:w="6762" w:type="dxa"/>
            <w:noWrap w:val="0"/>
            <w:vAlign w:val="top"/>
          </w:tcPr>
          <w:p w14:paraId="5E58EF8C">
            <w:pPr>
              <w:keepNext w:val="0"/>
              <w:keepLines w:val="0"/>
              <w:pageBreakBefore w:val="0"/>
              <w:widowControl w:val="0"/>
              <w:tabs>
                <w:tab w:val="center" w:pos="4153"/>
                <w:tab w:val="right" w:pos="8306"/>
              </w:tabs>
              <w:kinsoku/>
              <w:wordWrap/>
              <w:overflowPunct/>
              <w:topLinePunct w:val="0"/>
              <w:autoSpaceDE/>
              <w:autoSpaceDN/>
              <w:bidi w:val="0"/>
              <w:adjustRightInd/>
              <w:snapToGrid/>
              <w:spacing w:line="260" w:lineRule="exact"/>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A4：SCI，SSCI四区及未纳入分区论文；CSSCI各学科排名前3的期刊；被A&amp;HCI（艺术人文科学引文索引）检索的期刊论文；主要内容被《中国社会科学文摘》转载的（不含论点摘编）学术论文；《人民日报》和《光明日报》理论版</w:t>
            </w:r>
          </w:p>
          <w:p w14:paraId="1F97D7ED">
            <w:pPr>
              <w:keepNext w:val="0"/>
              <w:keepLines w:val="0"/>
              <w:pageBreakBefore w:val="0"/>
              <w:widowControl w:val="0"/>
              <w:tabs>
                <w:tab w:val="center" w:pos="4153"/>
                <w:tab w:val="right" w:pos="8306"/>
              </w:tabs>
              <w:kinsoku/>
              <w:wordWrap/>
              <w:overflowPunct/>
              <w:topLinePunct w:val="0"/>
              <w:autoSpaceDE/>
              <w:autoSpaceDN/>
              <w:bidi w:val="0"/>
              <w:adjustRightInd/>
              <w:snapToGrid/>
              <w:spacing w:line="260" w:lineRule="exact"/>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中国物流学术年会一等奖论文；中国航海学会学术年会一等奖论文；中国法学会学术年会一等奖论文</w:t>
            </w:r>
          </w:p>
        </w:tc>
        <w:tc>
          <w:tcPr>
            <w:tcW w:w="885" w:type="dxa"/>
            <w:noWrap w:val="0"/>
            <w:vAlign w:val="center"/>
          </w:tcPr>
          <w:p w14:paraId="6E3643D6">
            <w:pPr>
              <w:keepNext w:val="0"/>
              <w:keepLines w:val="0"/>
              <w:pageBreakBefore w:val="0"/>
              <w:widowControl w:val="0"/>
              <w:tabs>
                <w:tab w:val="center" w:pos="4153"/>
                <w:tab w:val="right" w:pos="8306"/>
              </w:tabs>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8</w:t>
            </w:r>
          </w:p>
        </w:tc>
      </w:tr>
      <w:tr w14:paraId="53A8D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8" w:type="dxa"/>
            <w:vMerge w:val="continue"/>
            <w:noWrap w:val="0"/>
            <w:vAlign w:val="top"/>
          </w:tcPr>
          <w:p w14:paraId="23ADB0CF">
            <w:pPr>
              <w:keepNext w:val="0"/>
              <w:keepLines w:val="0"/>
              <w:pageBreakBefore w:val="0"/>
              <w:widowControl w:val="0"/>
              <w:tabs>
                <w:tab w:val="center" w:pos="4153"/>
                <w:tab w:val="right" w:pos="8306"/>
              </w:tabs>
              <w:kinsoku/>
              <w:wordWrap/>
              <w:overflowPunct/>
              <w:topLinePunct w:val="0"/>
              <w:autoSpaceDE/>
              <w:autoSpaceDN/>
              <w:bidi w:val="0"/>
              <w:adjustRightInd/>
              <w:snapToGrid/>
              <w:spacing w:line="260" w:lineRule="exact"/>
              <w:textAlignment w:val="auto"/>
              <w:rPr>
                <w:rFonts w:hint="eastAsia" w:ascii="宋体" w:hAnsi="宋体" w:eastAsia="宋体" w:cs="宋体"/>
                <w:color w:val="auto"/>
                <w:sz w:val="18"/>
                <w:szCs w:val="18"/>
                <w:highlight w:val="none"/>
              </w:rPr>
            </w:pPr>
          </w:p>
        </w:tc>
        <w:tc>
          <w:tcPr>
            <w:tcW w:w="549" w:type="dxa"/>
            <w:noWrap w:val="0"/>
            <w:vAlign w:val="center"/>
          </w:tcPr>
          <w:p w14:paraId="1E9A03F7">
            <w:pPr>
              <w:keepNext w:val="0"/>
              <w:keepLines w:val="0"/>
              <w:pageBreakBefore w:val="0"/>
              <w:widowControl w:val="0"/>
              <w:tabs>
                <w:tab w:val="center" w:pos="4153"/>
                <w:tab w:val="right" w:pos="8306"/>
              </w:tabs>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B类</w:t>
            </w:r>
          </w:p>
        </w:tc>
        <w:tc>
          <w:tcPr>
            <w:tcW w:w="6762" w:type="dxa"/>
            <w:noWrap w:val="0"/>
            <w:vAlign w:val="center"/>
          </w:tcPr>
          <w:p w14:paraId="7A3A50F3">
            <w:pPr>
              <w:keepNext w:val="0"/>
              <w:keepLines w:val="0"/>
              <w:pageBreakBefore w:val="0"/>
              <w:widowControl w:val="0"/>
              <w:tabs>
                <w:tab w:val="center" w:pos="4153"/>
                <w:tab w:val="right" w:pos="8306"/>
              </w:tabs>
              <w:kinsoku/>
              <w:wordWrap/>
              <w:overflowPunct/>
              <w:topLinePunct w:val="0"/>
              <w:autoSpaceDE/>
              <w:autoSpaceDN/>
              <w:bidi w:val="0"/>
              <w:adjustRightInd/>
              <w:snapToGrid/>
              <w:spacing w:line="260" w:lineRule="exact"/>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被EI检索的期刊论文；CSSCI各学科排名前4-8的期刊论文；《经济日报》和《解放军报》理论版；被中共中央办公厅《专报》和《观点摘编》、国家社科基金《成果要报》等收录的决策咨询成果</w:t>
            </w:r>
          </w:p>
          <w:p w14:paraId="720D4420">
            <w:pPr>
              <w:keepNext w:val="0"/>
              <w:keepLines w:val="0"/>
              <w:pageBreakBefore w:val="0"/>
              <w:widowControl w:val="0"/>
              <w:tabs>
                <w:tab w:val="center" w:pos="4153"/>
                <w:tab w:val="right" w:pos="8306"/>
              </w:tabs>
              <w:kinsoku/>
              <w:wordWrap/>
              <w:overflowPunct/>
              <w:topLinePunct w:val="0"/>
              <w:autoSpaceDE/>
              <w:autoSpaceDN/>
              <w:bidi w:val="0"/>
              <w:adjustRightInd/>
              <w:snapToGrid/>
              <w:spacing w:line="260" w:lineRule="exact"/>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中国物流学术年会二等奖论文；中国航海学会学术年会二等奖论文；中国公共安全大会优秀论文；中国法学会学术年会二等奖论文；中国法学会各直属研究会一等奖论文；中国国际法学会一等奖论文；中国国际经济法学会学术年会一等奖论文；中国电工技术学会年会一等奖论文</w:t>
            </w:r>
          </w:p>
        </w:tc>
        <w:tc>
          <w:tcPr>
            <w:tcW w:w="885" w:type="dxa"/>
            <w:noWrap w:val="0"/>
            <w:vAlign w:val="center"/>
          </w:tcPr>
          <w:p w14:paraId="1A5E8F5D">
            <w:pPr>
              <w:keepNext w:val="0"/>
              <w:keepLines w:val="0"/>
              <w:pageBreakBefore w:val="0"/>
              <w:widowControl w:val="0"/>
              <w:tabs>
                <w:tab w:val="center" w:pos="4153"/>
                <w:tab w:val="right" w:pos="8306"/>
              </w:tabs>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4</w:t>
            </w:r>
          </w:p>
        </w:tc>
      </w:tr>
      <w:tr w14:paraId="24E79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8" w:type="dxa"/>
            <w:vMerge w:val="continue"/>
            <w:noWrap w:val="0"/>
            <w:vAlign w:val="top"/>
          </w:tcPr>
          <w:p w14:paraId="085456C0">
            <w:pPr>
              <w:keepNext w:val="0"/>
              <w:keepLines w:val="0"/>
              <w:pageBreakBefore w:val="0"/>
              <w:widowControl w:val="0"/>
              <w:tabs>
                <w:tab w:val="center" w:pos="4153"/>
                <w:tab w:val="right" w:pos="8306"/>
              </w:tabs>
              <w:kinsoku/>
              <w:wordWrap/>
              <w:overflowPunct/>
              <w:topLinePunct w:val="0"/>
              <w:autoSpaceDE/>
              <w:autoSpaceDN/>
              <w:bidi w:val="0"/>
              <w:adjustRightInd/>
              <w:snapToGrid/>
              <w:spacing w:line="260" w:lineRule="exact"/>
              <w:textAlignment w:val="auto"/>
              <w:rPr>
                <w:rFonts w:hint="eastAsia" w:ascii="宋体" w:hAnsi="宋体" w:eastAsia="宋体" w:cs="宋体"/>
                <w:color w:val="auto"/>
                <w:sz w:val="18"/>
                <w:szCs w:val="18"/>
                <w:highlight w:val="none"/>
              </w:rPr>
            </w:pPr>
          </w:p>
        </w:tc>
        <w:tc>
          <w:tcPr>
            <w:tcW w:w="549" w:type="dxa"/>
            <w:noWrap w:val="0"/>
            <w:vAlign w:val="center"/>
          </w:tcPr>
          <w:p w14:paraId="4F42CF06">
            <w:pPr>
              <w:keepNext w:val="0"/>
              <w:keepLines w:val="0"/>
              <w:pageBreakBefore w:val="0"/>
              <w:widowControl w:val="0"/>
              <w:tabs>
                <w:tab w:val="center" w:pos="4153"/>
                <w:tab w:val="right" w:pos="8306"/>
              </w:tabs>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C类</w:t>
            </w:r>
          </w:p>
        </w:tc>
        <w:tc>
          <w:tcPr>
            <w:tcW w:w="6762" w:type="dxa"/>
            <w:noWrap w:val="0"/>
            <w:vAlign w:val="top"/>
          </w:tcPr>
          <w:p w14:paraId="2DEE01E8">
            <w:pPr>
              <w:keepNext w:val="0"/>
              <w:keepLines w:val="0"/>
              <w:pageBreakBefore w:val="0"/>
              <w:widowControl w:val="0"/>
              <w:tabs>
                <w:tab w:val="center" w:pos="4153"/>
                <w:tab w:val="right" w:pos="8306"/>
              </w:tabs>
              <w:kinsoku/>
              <w:wordWrap/>
              <w:overflowPunct/>
              <w:topLinePunct w:val="0"/>
              <w:autoSpaceDE/>
              <w:autoSpaceDN/>
              <w:bidi w:val="0"/>
              <w:adjustRightInd/>
              <w:snapToGrid/>
              <w:spacing w:line="260" w:lineRule="exact"/>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除A、B二类期刊外，中文权威期刊上发表的论文；《人大复印资料》全文转载的学术论文；《高等学校文科学术文摘》全文转载的学术论文；</w:t>
            </w:r>
          </w:p>
          <w:p w14:paraId="779652CA">
            <w:pPr>
              <w:keepNext w:val="0"/>
              <w:keepLines w:val="0"/>
              <w:pageBreakBefore w:val="0"/>
              <w:widowControl w:val="0"/>
              <w:tabs>
                <w:tab w:val="center" w:pos="4153"/>
                <w:tab w:val="right" w:pos="8306"/>
              </w:tabs>
              <w:kinsoku/>
              <w:wordWrap/>
              <w:overflowPunct/>
              <w:topLinePunct w:val="0"/>
              <w:autoSpaceDE/>
              <w:autoSpaceDN/>
              <w:bidi w:val="0"/>
              <w:adjustRightInd/>
              <w:snapToGrid/>
              <w:spacing w:line="260" w:lineRule="exact"/>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文汇报》、《解放日报》以及各省（直辖市）委机关报理论版上发表的理论文章；被各部委主办的要报、决策参考、市政府发展研究中心《专家反映》和《决策参考信息》、上海社科规划办《成果要报》等收录的决策咨询成果</w:t>
            </w:r>
          </w:p>
          <w:p w14:paraId="47088A67">
            <w:pPr>
              <w:keepNext w:val="0"/>
              <w:keepLines w:val="0"/>
              <w:pageBreakBefore w:val="0"/>
              <w:widowControl w:val="0"/>
              <w:tabs>
                <w:tab w:val="center" w:pos="4153"/>
                <w:tab w:val="right" w:pos="8306"/>
              </w:tabs>
              <w:kinsoku/>
              <w:wordWrap/>
              <w:overflowPunct/>
              <w:topLinePunct w:val="0"/>
              <w:autoSpaceDE/>
              <w:autoSpaceDN/>
              <w:bidi w:val="0"/>
              <w:adjustRightInd/>
              <w:snapToGrid/>
              <w:spacing w:line="260" w:lineRule="exact"/>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中国物流学术年会三等奖论文；中国航海学会学术年会三等奖论文；中国法学会学术年会三等奖论文；中国法学会各直属研究会二等奖论文；中国国际法学会二等奖论文；中国国际经济法学会学术年会二等奖论文；中国电工技术学会年会二等奖论文</w:t>
            </w:r>
          </w:p>
        </w:tc>
        <w:tc>
          <w:tcPr>
            <w:tcW w:w="885" w:type="dxa"/>
            <w:noWrap w:val="0"/>
            <w:vAlign w:val="center"/>
          </w:tcPr>
          <w:p w14:paraId="7B29F1F9">
            <w:pPr>
              <w:keepNext w:val="0"/>
              <w:keepLines w:val="0"/>
              <w:pageBreakBefore w:val="0"/>
              <w:widowControl w:val="0"/>
              <w:tabs>
                <w:tab w:val="center" w:pos="4153"/>
                <w:tab w:val="right" w:pos="8306"/>
              </w:tabs>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w:t>
            </w:r>
          </w:p>
        </w:tc>
      </w:tr>
      <w:tr w14:paraId="1C422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848" w:type="dxa"/>
            <w:vMerge w:val="restart"/>
            <w:noWrap w:val="0"/>
            <w:vAlign w:val="center"/>
          </w:tcPr>
          <w:p w14:paraId="37264577">
            <w:pPr>
              <w:tabs>
                <w:tab w:val="center" w:pos="4153"/>
                <w:tab w:val="right" w:pos="8306"/>
              </w:tabs>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学术论文</w:t>
            </w:r>
          </w:p>
        </w:tc>
        <w:tc>
          <w:tcPr>
            <w:tcW w:w="549" w:type="dxa"/>
            <w:noWrap w:val="0"/>
            <w:vAlign w:val="center"/>
          </w:tcPr>
          <w:p w14:paraId="08419090">
            <w:pPr>
              <w:tabs>
                <w:tab w:val="center" w:pos="4153"/>
                <w:tab w:val="right" w:pos="8306"/>
              </w:tabs>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D类</w:t>
            </w:r>
          </w:p>
        </w:tc>
        <w:tc>
          <w:tcPr>
            <w:tcW w:w="6762" w:type="dxa"/>
            <w:noWrap w:val="0"/>
            <w:vAlign w:val="top"/>
          </w:tcPr>
          <w:p w14:paraId="001DA0B6">
            <w:pPr>
              <w:tabs>
                <w:tab w:val="center" w:pos="4153"/>
                <w:tab w:val="right" w:pos="8306"/>
              </w:tabs>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被SCI、SCIE检索的会议论文；《上海海事大学学报》上发表的论文；《中国社会科学引文索引》（CSSCI）扩展版来源期刊、集刊；《中国科学引文数据库》（CSCD）的扩展库目录期刊</w:t>
            </w:r>
          </w:p>
          <w:p w14:paraId="512B797B">
            <w:pPr>
              <w:tabs>
                <w:tab w:val="center" w:pos="4153"/>
                <w:tab w:val="right" w:pos="8306"/>
              </w:tabs>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中国物流学术年会优秀奖论文；中国航海学会学术年会优秀奖论文；中国法学会学术年会优秀奖论文；中国法学会各直属研究会三等奖论文；中国国际法学会三等奖论文；中国国际经济法学会学术年会三等奖论文；中国电工技术学会年会三等奖论文</w:t>
            </w:r>
          </w:p>
        </w:tc>
        <w:tc>
          <w:tcPr>
            <w:tcW w:w="885" w:type="dxa"/>
            <w:noWrap w:val="0"/>
            <w:vAlign w:val="center"/>
          </w:tcPr>
          <w:p w14:paraId="6C8F5788">
            <w:pPr>
              <w:tabs>
                <w:tab w:val="center" w:pos="4153"/>
                <w:tab w:val="right" w:pos="8306"/>
              </w:tabs>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r>
      <w:tr w14:paraId="72D79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848" w:type="dxa"/>
            <w:vMerge w:val="continue"/>
            <w:noWrap w:val="0"/>
            <w:vAlign w:val="top"/>
          </w:tcPr>
          <w:p w14:paraId="1F7A999E">
            <w:pPr>
              <w:tabs>
                <w:tab w:val="center" w:pos="4153"/>
                <w:tab w:val="right" w:pos="8306"/>
              </w:tabs>
              <w:rPr>
                <w:rFonts w:hint="eastAsia" w:ascii="宋体" w:hAnsi="宋体" w:eastAsia="宋体" w:cs="宋体"/>
                <w:color w:val="auto"/>
                <w:sz w:val="18"/>
                <w:szCs w:val="18"/>
                <w:highlight w:val="none"/>
              </w:rPr>
            </w:pPr>
          </w:p>
        </w:tc>
        <w:tc>
          <w:tcPr>
            <w:tcW w:w="549" w:type="dxa"/>
            <w:noWrap w:val="0"/>
            <w:vAlign w:val="center"/>
          </w:tcPr>
          <w:p w14:paraId="75B735AE">
            <w:pPr>
              <w:tabs>
                <w:tab w:val="center" w:pos="4153"/>
                <w:tab w:val="right" w:pos="8306"/>
              </w:tabs>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E类</w:t>
            </w:r>
          </w:p>
        </w:tc>
        <w:tc>
          <w:tcPr>
            <w:tcW w:w="6762" w:type="dxa"/>
            <w:noWrap w:val="0"/>
            <w:vAlign w:val="center"/>
          </w:tcPr>
          <w:p w14:paraId="1415FFC6">
            <w:pPr>
              <w:tabs>
                <w:tab w:val="center" w:pos="4153"/>
                <w:tab w:val="right" w:pos="8306"/>
              </w:tabs>
              <w:rPr>
                <w:rFonts w:hint="eastAsia" w:ascii="宋体" w:hAnsi="宋体" w:eastAsia="宋体" w:cs="宋体"/>
                <w:color w:val="auto"/>
                <w:sz w:val="18"/>
                <w:szCs w:val="18"/>
                <w:highlight w:val="none"/>
                <w:shd w:val="clear" w:color="auto" w:fill="FFFFFF"/>
              </w:rPr>
            </w:pPr>
            <w:r>
              <w:rPr>
                <w:rFonts w:hint="eastAsia" w:ascii="宋体" w:hAnsi="宋体" w:eastAsia="宋体" w:cs="宋体"/>
                <w:color w:val="auto"/>
                <w:sz w:val="18"/>
                <w:szCs w:val="18"/>
                <w:highlight w:val="none"/>
                <w:shd w:val="clear" w:color="auto" w:fill="FFFFFF"/>
              </w:rPr>
              <w:t>《中文核心期刊要目总览》期刊；被EI、CPCI-S(原ISTP)、CPCI-SSH（原ISSHP）检索的会议论文</w:t>
            </w:r>
          </w:p>
          <w:p w14:paraId="0933E247">
            <w:pPr>
              <w:tabs>
                <w:tab w:val="center" w:pos="4153"/>
                <w:tab w:val="right" w:pos="8306"/>
              </w:tabs>
              <w:rPr>
                <w:rFonts w:hint="eastAsia" w:ascii="宋体" w:hAnsi="宋体" w:eastAsia="宋体" w:cs="宋体"/>
                <w:color w:val="auto"/>
                <w:sz w:val="18"/>
                <w:szCs w:val="18"/>
                <w:highlight w:val="none"/>
                <w:shd w:val="clear" w:color="auto" w:fill="FFFFFF"/>
              </w:rPr>
            </w:pPr>
            <w:r>
              <w:rPr>
                <w:rFonts w:hint="eastAsia" w:ascii="宋体" w:hAnsi="宋体" w:eastAsia="宋体" w:cs="宋体"/>
                <w:color w:val="auto"/>
                <w:sz w:val="18"/>
                <w:szCs w:val="18"/>
                <w:highlight w:val="none"/>
              </w:rPr>
              <w:t>中国法学会各直属研究会优秀奖论文；中国国际法学会优秀奖论文；中国国际经济法学会学术年会优秀奖论文</w:t>
            </w:r>
          </w:p>
        </w:tc>
        <w:tc>
          <w:tcPr>
            <w:tcW w:w="885" w:type="dxa"/>
            <w:noWrap w:val="0"/>
            <w:vAlign w:val="center"/>
          </w:tcPr>
          <w:p w14:paraId="703510AC">
            <w:pPr>
              <w:tabs>
                <w:tab w:val="center" w:pos="4153"/>
                <w:tab w:val="right" w:pos="8306"/>
              </w:tabs>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r>
      <w:tr w14:paraId="3BBD9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848" w:type="dxa"/>
            <w:vMerge w:val="continue"/>
            <w:noWrap w:val="0"/>
            <w:vAlign w:val="top"/>
          </w:tcPr>
          <w:p w14:paraId="4ABAF3B2">
            <w:pPr>
              <w:tabs>
                <w:tab w:val="center" w:pos="4153"/>
                <w:tab w:val="right" w:pos="8306"/>
              </w:tabs>
              <w:rPr>
                <w:rFonts w:hint="eastAsia" w:ascii="宋体" w:hAnsi="宋体" w:eastAsia="宋体" w:cs="宋体"/>
                <w:color w:val="auto"/>
                <w:sz w:val="18"/>
                <w:szCs w:val="18"/>
                <w:highlight w:val="none"/>
              </w:rPr>
            </w:pPr>
          </w:p>
        </w:tc>
        <w:tc>
          <w:tcPr>
            <w:tcW w:w="549" w:type="dxa"/>
            <w:noWrap w:val="0"/>
            <w:vAlign w:val="center"/>
          </w:tcPr>
          <w:p w14:paraId="6C3DF465">
            <w:pPr>
              <w:tabs>
                <w:tab w:val="center" w:pos="4153"/>
                <w:tab w:val="right" w:pos="8306"/>
              </w:tabs>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F类</w:t>
            </w:r>
          </w:p>
        </w:tc>
        <w:tc>
          <w:tcPr>
            <w:tcW w:w="6762" w:type="dxa"/>
            <w:noWrap w:val="0"/>
            <w:vAlign w:val="center"/>
          </w:tcPr>
          <w:p w14:paraId="5967D3C9">
            <w:pPr>
              <w:tabs>
                <w:tab w:val="center" w:pos="4153"/>
                <w:tab w:val="right" w:pos="8306"/>
              </w:tabs>
              <w:rPr>
                <w:rFonts w:hint="eastAsia" w:ascii="宋体" w:hAnsi="宋体" w:eastAsia="宋体" w:cs="宋体"/>
                <w:color w:val="auto"/>
                <w:sz w:val="18"/>
                <w:szCs w:val="18"/>
                <w:highlight w:val="none"/>
                <w:shd w:val="clear" w:color="auto" w:fill="FFFFFF"/>
              </w:rPr>
            </w:pPr>
            <w:r>
              <w:rPr>
                <w:rFonts w:hint="eastAsia" w:ascii="宋体" w:hAnsi="宋体" w:eastAsia="宋体" w:cs="宋体"/>
                <w:color w:val="auto"/>
                <w:sz w:val="18"/>
                <w:szCs w:val="18"/>
                <w:highlight w:val="none"/>
                <w:shd w:val="clear" w:color="auto" w:fill="FFFFFF"/>
              </w:rPr>
              <w:t xml:space="preserve">见附件一 法学院正面清单，仅适用于法学硕士、法律硕士， </w:t>
            </w:r>
          </w:p>
        </w:tc>
        <w:tc>
          <w:tcPr>
            <w:tcW w:w="885" w:type="dxa"/>
            <w:noWrap w:val="0"/>
            <w:vAlign w:val="center"/>
          </w:tcPr>
          <w:p w14:paraId="6508B474">
            <w:pPr>
              <w:tabs>
                <w:tab w:val="center" w:pos="4153"/>
                <w:tab w:val="right" w:pos="8306"/>
              </w:tabs>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r>
      <w:tr w14:paraId="20BA3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848" w:type="dxa"/>
            <w:vMerge w:val="continue"/>
            <w:noWrap w:val="0"/>
            <w:vAlign w:val="top"/>
          </w:tcPr>
          <w:p w14:paraId="11E328B8">
            <w:pPr>
              <w:tabs>
                <w:tab w:val="center" w:pos="4153"/>
                <w:tab w:val="right" w:pos="8306"/>
              </w:tabs>
              <w:rPr>
                <w:rFonts w:hint="eastAsia" w:ascii="宋体" w:hAnsi="宋体" w:eastAsia="宋体" w:cs="宋体"/>
                <w:color w:val="auto"/>
                <w:sz w:val="18"/>
                <w:szCs w:val="18"/>
                <w:highlight w:val="none"/>
              </w:rPr>
            </w:pPr>
          </w:p>
        </w:tc>
        <w:tc>
          <w:tcPr>
            <w:tcW w:w="549" w:type="dxa"/>
            <w:noWrap w:val="0"/>
            <w:vAlign w:val="center"/>
          </w:tcPr>
          <w:p w14:paraId="69E626A6">
            <w:pPr>
              <w:tabs>
                <w:tab w:val="center" w:pos="4153"/>
                <w:tab w:val="right" w:pos="8306"/>
              </w:tabs>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G类</w:t>
            </w:r>
          </w:p>
        </w:tc>
        <w:tc>
          <w:tcPr>
            <w:tcW w:w="6762" w:type="dxa"/>
            <w:noWrap w:val="0"/>
            <w:vAlign w:val="center"/>
          </w:tcPr>
          <w:p w14:paraId="41403877">
            <w:pPr>
              <w:tabs>
                <w:tab w:val="center" w:pos="4153"/>
                <w:tab w:val="right" w:pos="8306"/>
              </w:tabs>
              <w:rPr>
                <w:rFonts w:hint="eastAsia" w:ascii="宋体" w:hAnsi="宋体" w:eastAsia="宋体" w:cs="宋体"/>
                <w:color w:val="auto"/>
                <w:sz w:val="18"/>
                <w:szCs w:val="18"/>
                <w:highlight w:val="none"/>
                <w:shd w:val="clear" w:color="auto" w:fill="FFFFFF"/>
              </w:rPr>
            </w:pPr>
            <w:r>
              <w:rPr>
                <w:rFonts w:hint="eastAsia" w:ascii="宋体" w:hAnsi="宋体" w:eastAsia="宋体" w:cs="宋体"/>
                <w:color w:val="auto"/>
                <w:sz w:val="18"/>
                <w:szCs w:val="18"/>
                <w:highlight w:val="none"/>
                <w:shd w:val="clear" w:color="auto" w:fill="FFFFFF"/>
              </w:rPr>
              <w:t>见附件二 外国语学院正面清单，仅适用于文学硕士、翻译硕士、汉语国际教育硕士（国际中文教育硕士）</w:t>
            </w:r>
          </w:p>
        </w:tc>
        <w:tc>
          <w:tcPr>
            <w:tcW w:w="885" w:type="dxa"/>
            <w:noWrap w:val="0"/>
            <w:vAlign w:val="center"/>
          </w:tcPr>
          <w:p w14:paraId="0AC9A4B1">
            <w:pPr>
              <w:tabs>
                <w:tab w:val="center" w:pos="4153"/>
                <w:tab w:val="right" w:pos="8306"/>
              </w:tabs>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r>
      <w:tr w14:paraId="611E6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848" w:type="dxa"/>
            <w:vMerge w:val="continue"/>
            <w:noWrap w:val="0"/>
            <w:vAlign w:val="top"/>
          </w:tcPr>
          <w:p w14:paraId="5374E868">
            <w:pPr>
              <w:tabs>
                <w:tab w:val="center" w:pos="4153"/>
                <w:tab w:val="right" w:pos="8306"/>
              </w:tabs>
              <w:rPr>
                <w:rFonts w:hint="eastAsia" w:ascii="宋体" w:hAnsi="宋体" w:eastAsia="宋体" w:cs="宋体"/>
                <w:color w:val="auto"/>
                <w:sz w:val="18"/>
                <w:szCs w:val="18"/>
                <w:highlight w:val="none"/>
              </w:rPr>
            </w:pPr>
          </w:p>
        </w:tc>
        <w:tc>
          <w:tcPr>
            <w:tcW w:w="549" w:type="dxa"/>
            <w:noWrap w:val="0"/>
            <w:vAlign w:val="center"/>
          </w:tcPr>
          <w:p w14:paraId="25A80DBE">
            <w:pPr>
              <w:tabs>
                <w:tab w:val="center" w:pos="4153"/>
                <w:tab w:val="right" w:pos="8306"/>
              </w:tabs>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H类</w:t>
            </w:r>
          </w:p>
        </w:tc>
        <w:tc>
          <w:tcPr>
            <w:tcW w:w="6762" w:type="dxa"/>
            <w:noWrap w:val="0"/>
            <w:vAlign w:val="center"/>
          </w:tcPr>
          <w:p w14:paraId="04BB0201">
            <w:pPr>
              <w:tabs>
                <w:tab w:val="center" w:pos="4153"/>
                <w:tab w:val="right" w:pos="8306"/>
              </w:tabs>
              <w:rPr>
                <w:rFonts w:hint="eastAsia" w:ascii="宋体" w:hAnsi="宋体" w:eastAsia="宋体" w:cs="宋体"/>
                <w:color w:val="auto"/>
                <w:sz w:val="18"/>
                <w:szCs w:val="18"/>
                <w:highlight w:val="none"/>
                <w:shd w:val="clear" w:color="auto" w:fill="FFFFFF"/>
              </w:rPr>
            </w:pPr>
            <w:r>
              <w:rPr>
                <w:rFonts w:hint="eastAsia" w:ascii="宋体" w:hAnsi="宋体" w:eastAsia="宋体" w:cs="宋体"/>
                <w:color w:val="auto"/>
                <w:sz w:val="18"/>
                <w:szCs w:val="18"/>
                <w:highlight w:val="none"/>
                <w:shd w:val="clear" w:color="auto" w:fill="FFFFFF"/>
              </w:rPr>
              <w:t>被FMS管理科学高质量期刊推荐列表、AJG(ABS)（英国商学院协会高质量学术期刊指南）检索论文，仅适用于工商管理一级学科硕士</w:t>
            </w:r>
          </w:p>
        </w:tc>
        <w:tc>
          <w:tcPr>
            <w:tcW w:w="885" w:type="dxa"/>
            <w:noWrap w:val="0"/>
            <w:vAlign w:val="center"/>
          </w:tcPr>
          <w:p w14:paraId="30F8FD3F">
            <w:pPr>
              <w:tabs>
                <w:tab w:val="center" w:pos="4153"/>
                <w:tab w:val="right" w:pos="8306"/>
              </w:tabs>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r>
      <w:tr w14:paraId="3BA25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848" w:type="dxa"/>
            <w:vMerge w:val="continue"/>
            <w:noWrap w:val="0"/>
            <w:vAlign w:val="top"/>
          </w:tcPr>
          <w:p w14:paraId="0AD5FE3D">
            <w:pPr>
              <w:tabs>
                <w:tab w:val="center" w:pos="4153"/>
                <w:tab w:val="right" w:pos="8306"/>
              </w:tabs>
              <w:rPr>
                <w:rFonts w:hint="eastAsia" w:ascii="宋体" w:hAnsi="宋体" w:eastAsia="宋体" w:cs="宋体"/>
                <w:color w:val="auto"/>
                <w:sz w:val="18"/>
                <w:szCs w:val="18"/>
                <w:highlight w:val="none"/>
              </w:rPr>
            </w:pPr>
          </w:p>
        </w:tc>
        <w:tc>
          <w:tcPr>
            <w:tcW w:w="549" w:type="dxa"/>
            <w:noWrap w:val="0"/>
            <w:vAlign w:val="center"/>
          </w:tcPr>
          <w:p w14:paraId="5434B61A">
            <w:pPr>
              <w:tabs>
                <w:tab w:val="center" w:pos="4153"/>
                <w:tab w:val="right" w:pos="8306"/>
              </w:tabs>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I类</w:t>
            </w:r>
          </w:p>
        </w:tc>
        <w:tc>
          <w:tcPr>
            <w:tcW w:w="6762" w:type="dxa"/>
            <w:noWrap w:val="0"/>
            <w:vAlign w:val="center"/>
          </w:tcPr>
          <w:p w14:paraId="0CD99312">
            <w:pPr>
              <w:tabs>
                <w:tab w:val="center" w:pos="4153"/>
                <w:tab w:val="right" w:pos="8306"/>
              </w:tabs>
              <w:rPr>
                <w:rFonts w:hint="eastAsia" w:ascii="宋体" w:hAnsi="宋体" w:eastAsia="宋体" w:cs="宋体"/>
                <w:color w:val="auto"/>
                <w:sz w:val="18"/>
                <w:szCs w:val="18"/>
                <w:highlight w:val="none"/>
                <w:shd w:val="clear" w:color="auto" w:fill="FFFFFF"/>
              </w:rPr>
            </w:pPr>
            <w:r>
              <w:rPr>
                <w:rFonts w:hint="eastAsia" w:ascii="宋体" w:hAnsi="宋体" w:eastAsia="宋体" w:cs="宋体"/>
                <w:color w:val="auto"/>
                <w:sz w:val="18"/>
                <w:szCs w:val="18"/>
                <w:highlight w:val="none"/>
                <w:shd w:val="clear" w:color="auto" w:fill="FFFFFF"/>
              </w:rPr>
              <w:t>见附件三 马克思主义学院正面清单</w:t>
            </w:r>
          </w:p>
        </w:tc>
        <w:tc>
          <w:tcPr>
            <w:tcW w:w="885" w:type="dxa"/>
            <w:noWrap w:val="0"/>
            <w:vAlign w:val="center"/>
          </w:tcPr>
          <w:p w14:paraId="24F11493">
            <w:pPr>
              <w:tabs>
                <w:tab w:val="center" w:pos="4153"/>
                <w:tab w:val="right" w:pos="8306"/>
              </w:tabs>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r>
      <w:tr w14:paraId="488C5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848" w:type="dxa"/>
            <w:vMerge w:val="continue"/>
            <w:noWrap w:val="0"/>
            <w:vAlign w:val="top"/>
          </w:tcPr>
          <w:p w14:paraId="433DD65E">
            <w:pPr>
              <w:tabs>
                <w:tab w:val="center" w:pos="4153"/>
                <w:tab w:val="right" w:pos="8306"/>
              </w:tabs>
              <w:rPr>
                <w:rFonts w:hint="eastAsia" w:ascii="宋体" w:hAnsi="宋体" w:eastAsia="宋体" w:cs="宋体"/>
                <w:color w:val="auto"/>
                <w:sz w:val="18"/>
                <w:szCs w:val="18"/>
                <w:highlight w:val="none"/>
              </w:rPr>
            </w:pPr>
          </w:p>
        </w:tc>
        <w:tc>
          <w:tcPr>
            <w:tcW w:w="549" w:type="dxa"/>
            <w:noWrap w:val="0"/>
            <w:vAlign w:val="center"/>
          </w:tcPr>
          <w:p w14:paraId="622DA4F6">
            <w:pPr>
              <w:tabs>
                <w:tab w:val="center" w:pos="4153"/>
                <w:tab w:val="right" w:pos="8306"/>
              </w:tabs>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J类</w:t>
            </w:r>
          </w:p>
        </w:tc>
        <w:tc>
          <w:tcPr>
            <w:tcW w:w="6762" w:type="dxa"/>
            <w:noWrap w:val="0"/>
            <w:vAlign w:val="center"/>
          </w:tcPr>
          <w:p w14:paraId="624F6515">
            <w:pPr>
              <w:tabs>
                <w:tab w:val="center" w:pos="4153"/>
                <w:tab w:val="right" w:pos="8306"/>
              </w:tabs>
              <w:rPr>
                <w:rFonts w:hint="eastAsia" w:ascii="宋体" w:hAnsi="宋体" w:eastAsia="宋体" w:cs="宋体"/>
                <w:color w:val="auto"/>
                <w:sz w:val="18"/>
                <w:szCs w:val="18"/>
                <w:highlight w:val="none"/>
                <w:shd w:val="clear" w:color="auto" w:fill="FFFFFF"/>
              </w:rPr>
            </w:pPr>
            <w:r>
              <w:rPr>
                <w:rFonts w:hint="eastAsia" w:ascii="宋体" w:hAnsi="宋体" w:eastAsia="宋体" w:cs="宋体"/>
                <w:color w:val="auto"/>
                <w:sz w:val="18"/>
                <w:szCs w:val="18"/>
                <w:highlight w:val="none"/>
                <w:shd w:val="clear" w:color="auto" w:fill="FFFFFF"/>
              </w:rPr>
              <w:t>见附件四 经济管理学院正面清单，仅适用于会计学和财务管理专业</w:t>
            </w:r>
          </w:p>
        </w:tc>
        <w:tc>
          <w:tcPr>
            <w:tcW w:w="885" w:type="dxa"/>
            <w:noWrap w:val="0"/>
            <w:vAlign w:val="center"/>
          </w:tcPr>
          <w:p w14:paraId="1482BFBF">
            <w:pPr>
              <w:tabs>
                <w:tab w:val="center" w:pos="4153"/>
                <w:tab w:val="right" w:pos="8306"/>
              </w:tabs>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r>
    </w:tbl>
    <w:p w14:paraId="566BCA8E">
      <w:pPr>
        <w:keepNext w:val="0"/>
        <w:keepLines w:val="0"/>
        <w:pageBreakBefore w:val="0"/>
        <w:widowControl w:val="0"/>
        <w:kinsoku/>
        <w:wordWrap/>
        <w:overflowPunct/>
        <w:topLinePunct w:val="0"/>
        <w:autoSpaceDE/>
        <w:autoSpaceDN/>
        <w:bidi w:val="0"/>
        <w:adjustRightInd/>
        <w:snapToGrid/>
        <w:spacing w:line="300" w:lineRule="auto"/>
        <w:ind w:left="0" w:leftChars="0" w:firstLine="400" w:firstLineChars="200"/>
        <w:textAlignment w:val="auto"/>
        <w:rPr>
          <w:rFonts w:hint="eastAsia" w:ascii="Times New Roman" w:hAnsi="Times New Roman" w:eastAsia="宋体" w:cstheme="majorEastAsia"/>
          <w:sz w:val="20"/>
          <w:szCs w:val="20"/>
          <w:highlight w:val="none"/>
          <w:lang w:val="en-US" w:eastAsia="zh-CN"/>
        </w:rPr>
      </w:pPr>
      <w:r>
        <w:rPr>
          <w:rFonts w:hint="eastAsia" w:ascii="Times New Roman" w:hAnsi="Times New Roman" w:eastAsia="宋体" w:cstheme="majorEastAsia"/>
          <w:sz w:val="20"/>
          <w:szCs w:val="20"/>
          <w:highlight w:val="none"/>
          <w:lang w:val="en-US" w:eastAsia="zh-CN"/>
        </w:rPr>
        <w:t>说明：</w:t>
      </w:r>
    </w:p>
    <w:p w14:paraId="2F767EF5">
      <w:pPr>
        <w:keepNext w:val="0"/>
        <w:keepLines w:val="0"/>
        <w:pageBreakBefore w:val="0"/>
        <w:widowControl w:val="0"/>
        <w:kinsoku/>
        <w:wordWrap/>
        <w:overflowPunct/>
        <w:topLinePunct w:val="0"/>
        <w:autoSpaceDE/>
        <w:autoSpaceDN/>
        <w:bidi w:val="0"/>
        <w:adjustRightInd/>
        <w:snapToGrid/>
        <w:spacing w:line="300" w:lineRule="auto"/>
        <w:ind w:left="0" w:leftChars="0" w:firstLine="400" w:firstLineChars="200"/>
        <w:textAlignment w:val="auto"/>
        <w:rPr>
          <w:rFonts w:hint="eastAsia" w:ascii="Times New Roman" w:hAnsi="Times New Roman" w:eastAsia="宋体" w:cstheme="majorEastAsia"/>
          <w:sz w:val="20"/>
          <w:szCs w:val="20"/>
          <w:highlight w:val="none"/>
          <w:lang w:val="en-US" w:eastAsia="zh-CN"/>
        </w:rPr>
      </w:pPr>
      <w:r>
        <w:rPr>
          <w:rFonts w:hint="eastAsia" w:ascii="Times New Roman" w:hAnsi="Times New Roman" w:eastAsia="宋体" w:cstheme="majorEastAsia"/>
          <w:sz w:val="20"/>
          <w:szCs w:val="20"/>
          <w:highlight w:val="none"/>
          <w:lang w:val="en-US" w:eastAsia="zh-CN"/>
        </w:rPr>
        <w:t>①论文类成果的具体认定标准参见《上海海事大学科技工作量计算办法》（科字〔2020〕3号）；成果类级认定如有异议，由各学位评定分委员会裁定。</w:t>
      </w:r>
    </w:p>
    <w:p w14:paraId="689E1D7B">
      <w:pPr>
        <w:keepNext w:val="0"/>
        <w:keepLines w:val="0"/>
        <w:pageBreakBefore w:val="0"/>
        <w:widowControl w:val="0"/>
        <w:kinsoku/>
        <w:wordWrap/>
        <w:overflowPunct/>
        <w:topLinePunct w:val="0"/>
        <w:autoSpaceDE/>
        <w:autoSpaceDN/>
        <w:bidi w:val="0"/>
        <w:adjustRightInd/>
        <w:snapToGrid/>
        <w:spacing w:line="300" w:lineRule="auto"/>
        <w:ind w:left="0" w:leftChars="0" w:firstLine="400" w:firstLineChars="200"/>
        <w:textAlignment w:val="auto"/>
        <w:rPr>
          <w:rFonts w:hint="eastAsia" w:ascii="Times New Roman" w:hAnsi="Times New Roman" w:eastAsia="宋体" w:cstheme="majorEastAsia"/>
          <w:sz w:val="20"/>
          <w:szCs w:val="20"/>
          <w:highlight w:val="none"/>
          <w:lang w:val="en-US" w:eastAsia="zh-CN"/>
        </w:rPr>
      </w:pPr>
      <w:r>
        <w:rPr>
          <w:rFonts w:hint="eastAsia" w:ascii="Times New Roman" w:hAnsi="Times New Roman" w:eastAsia="宋体" w:cstheme="majorEastAsia"/>
          <w:sz w:val="20"/>
          <w:szCs w:val="20"/>
          <w:highlight w:val="none"/>
          <w:lang w:val="en-US" w:eastAsia="zh-CN"/>
        </w:rPr>
        <w:t>②列入统计范围的学术论文必须是研究生在学期间已发表（或录用）的，已发表的需提供论文复印件，已录用的需提供录用通知书复印件、发表费发票复印件及论文全文。</w:t>
      </w:r>
    </w:p>
    <w:p w14:paraId="08C0D2FF">
      <w:pPr>
        <w:keepNext w:val="0"/>
        <w:keepLines w:val="0"/>
        <w:pageBreakBefore w:val="0"/>
        <w:widowControl w:val="0"/>
        <w:kinsoku/>
        <w:wordWrap/>
        <w:overflowPunct/>
        <w:topLinePunct w:val="0"/>
        <w:autoSpaceDE/>
        <w:autoSpaceDN/>
        <w:bidi w:val="0"/>
        <w:adjustRightInd/>
        <w:snapToGrid/>
        <w:spacing w:line="300" w:lineRule="auto"/>
        <w:ind w:left="0" w:leftChars="0" w:firstLine="400" w:firstLineChars="200"/>
        <w:textAlignment w:val="auto"/>
        <w:rPr>
          <w:rFonts w:hint="eastAsia" w:ascii="Times New Roman" w:hAnsi="Times New Roman" w:eastAsia="宋体" w:cstheme="majorEastAsia"/>
          <w:sz w:val="20"/>
          <w:szCs w:val="20"/>
          <w:highlight w:val="none"/>
          <w:lang w:val="en-US" w:eastAsia="zh-CN"/>
        </w:rPr>
      </w:pPr>
      <w:r>
        <w:rPr>
          <w:rFonts w:hint="eastAsia" w:ascii="Times New Roman" w:hAnsi="Times New Roman" w:eastAsia="宋体" w:cstheme="majorEastAsia"/>
          <w:sz w:val="20"/>
          <w:szCs w:val="20"/>
          <w:highlight w:val="none"/>
          <w:lang w:val="en-US" w:eastAsia="zh-CN"/>
        </w:rPr>
        <w:t>③所有计分的论文成果应是正刊，增刊降两档计分，D类、E类、F类、G类、H类增刊不计分。</w:t>
      </w:r>
    </w:p>
    <w:p w14:paraId="3E97A736">
      <w:pPr>
        <w:keepNext w:val="0"/>
        <w:keepLines w:val="0"/>
        <w:pageBreakBefore w:val="0"/>
        <w:widowControl w:val="0"/>
        <w:kinsoku/>
        <w:wordWrap/>
        <w:overflowPunct/>
        <w:topLinePunct w:val="0"/>
        <w:autoSpaceDE/>
        <w:autoSpaceDN/>
        <w:bidi w:val="0"/>
        <w:adjustRightInd/>
        <w:snapToGrid/>
        <w:spacing w:line="300" w:lineRule="auto"/>
        <w:ind w:left="0" w:leftChars="0" w:firstLine="400" w:firstLineChars="200"/>
        <w:textAlignment w:val="auto"/>
        <w:rPr>
          <w:rFonts w:hint="eastAsia" w:ascii="Times New Roman" w:hAnsi="Times New Roman" w:eastAsia="宋体" w:cstheme="majorEastAsia"/>
          <w:sz w:val="20"/>
          <w:szCs w:val="20"/>
          <w:highlight w:val="none"/>
          <w:lang w:val="en-US" w:eastAsia="zh-CN"/>
        </w:rPr>
      </w:pPr>
      <w:r>
        <w:rPr>
          <w:rFonts w:hint="eastAsia" w:ascii="Times New Roman" w:hAnsi="Times New Roman" w:eastAsia="宋体" w:cstheme="majorEastAsia"/>
          <w:sz w:val="20"/>
          <w:szCs w:val="20"/>
          <w:highlight w:val="none"/>
          <w:lang w:val="en-US" w:eastAsia="zh-CN"/>
        </w:rPr>
        <w:t>④预警期刊不予认可，参见科技处、研究生院《国际期刊预警名单（试行）》。预警期刊名单以每年科技处发布的为准。(从严把握标准，只要上过预警期刊名单就不予认定)</w:t>
      </w:r>
    </w:p>
    <w:p w14:paraId="0B0FAF25">
      <w:pPr>
        <w:keepNext w:val="0"/>
        <w:keepLines w:val="0"/>
        <w:pageBreakBefore w:val="0"/>
        <w:widowControl w:val="0"/>
        <w:kinsoku/>
        <w:wordWrap/>
        <w:overflowPunct/>
        <w:topLinePunct w:val="0"/>
        <w:autoSpaceDE/>
        <w:autoSpaceDN/>
        <w:bidi w:val="0"/>
        <w:adjustRightInd/>
        <w:snapToGrid/>
        <w:spacing w:line="300" w:lineRule="auto"/>
        <w:ind w:left="0" w:leftChars="0" w:firstLine="400" w:firstLineChars="200"/>
        <w:textAlignment w:val="auto"/>
        <w:rPr>
          <w:rFonts w:hint="eastAsia" w:ascii="Times New Roman" w:hAnsi="Times New Roman" w:eastAsia="宋体" w:cstheme="majorEastAsia"/>
          <w:sz w:val="20"/>
          <w:szCs w:val="20"/>
          <w:highlight w:val="none"/>
          <w:lang w:val="en-US" w:eastAsia="zh-CN"/>
        </w:rPr>
      </w:pPr>
      <w:r>
        <w:rPr>
          <w:rFonts w:hint="eastAsia" w:ascii="Times New Roman" w:hAnsi="Times New Roman" w:eastAsia="宋体" w:cstheme="majorEastAsia"/>
          <w:sz w:val="20"/>
          <w:szCs w:val="20"/>
          <w:highlight w:val="none"/>
          <w:lang w:val="en-US" w:eastAsia="zh-CN"/>
        </w:rPr>
        <w:t>⑤SCI和SSCI分区认定，参照中国科学技术信息研究所每年发布的SCI和SSCI期刊分区目录，按一区、二区、三区和四区论文共四类进行认定。每届学生的论文分区认定以入学当年最新版的分区目录为准。</w:t>
      </w:r>
    </w:p>
    <w:p w14:paraId="1F16A2C1">
      <w:pPr>
        <w:keepNext w:val="0"/>
        <w:keepLines w:val="0"/>
        <w:pageBreakBefore w:val="0"/>
        <w:widowControl w:val="0"/>
        <w:kinsoku/>
        <w:wordWrap/>
        <w:overflowPunct/>
        <w:topLinePunct w:val="0"/>
        <w:autoSpaceDE/>
        <w:autoSpaceDN/>
        <w:bidi w:val="0"/>
        <w:adjustRightInd/>
        <w:snapToGrid/>
        <w:spacing w:line="300" w:lineRule="auto"/>
        <w:ind w:left="0" w:leftChars="0" w:firstLine="400" w:firstLineChars="200"/>
        <w:textAlignment w:val="auto"/>
        <w:rPr>
          <w:rFonts w:hint="eastAsia" w:ascii="Times New Roman" w:hAnsi="Times New Roman" w:eastAsia="宋体" w:cstheme="majorEastAsia"/>
          <w:sz w:val="20"/>
          <w:szCs w:val="20"/>
          <w:highlight w:val="none"/>
          <w:lang w:val="en-US" w:eastAsia="zh-CN"/>
        </w:rPr>
      </w:pPr>
      <w:r>
        <w:rPr>
          <w:rFonts w:hint="eastAsia" w:ascii="Times New Roman" w:hAnsi="Times New Roman" w:eastAsia="宋体" w:cstheme="majorEastAsia"/>
          <w:sz w:val="20"/>
          <w:szCs w:val="20"/>
          <w:highlight w:val="none"/>
          <w:lang w:val="en-US" w:eastAsia="zh-CN"/>
        </w:rPr>
        <w:t>⑥被SCI检索收录的文献类型为article、review、letter以及editorial material的论文是期刊论文，文献类型为proceedings article的论文是会议论文；被EI检索收录的文献类型为journal article（JA）的论文是期刊论文，文献类型为conference article（CA）的论文是会议论文；被CPCI-S（原ISTP）检索收录和CPCI-SSH（原ISSHP）检索收录的论文均为会议论文。</w:t>
      </w:r>
    </w:p>
    <w:p w14:paraId="25D0D21B">
      <w:pPr>
        <w:keepNext w:val="0"/>
        <w:keepLines w:val="0"/>
        <w:pageBreakBefore w:val="0"/>
        <w:widowControl w:val="0"/>
        <w:kinsoku/>
        <w:wordWrap/>
        <w:overflowPunct/>
        <w:topLinePunct w:val="0"/>
        <w:autoSpaceDE/>
        <w:autoSpaceDN/>
        <w:bidi w:val="0"/>
        <w:adjustRightInd/>
        <w:snapToGrid/>
        <w:spacing w:line="300" w:lineRule="auto"/>
        <w:ind w:left="0" w:leftChars="0" w:firstLine="400" w:firstLineChars="200"/>
        <w:textAlignment w:val="auto"/>
        <w:rPr>
          <w:rFonts w:hint="eastAsia" w:ascii="Times New Roman" w:hAnsi="Times New Roman" w:eastAsia="宋体" w:cstheme="majorEastAsia"/>
          <w:sz w:val="20"/>
          <w:szCs w:val="20"/>
          <w:highlight w:val="none"/>
          <w:lang w:val="en-US" w:eastAsia="zh-CN"/>
        </w:rPr>
      </w:pPr>
      <w:r>
        <w:rPr>
          <w:rFonts w:hint="eastAsia" w:ascii="Times New Roman" w:hAnsi="Times New Roman" w:eastAsia="宋体" w:cstheme="majorEastAsia"/>
          <w:sz w:val="20"/>
          <w:szCs w:val="20"/>
          <w:highlight w:val="none"/>
          <w:lang w:val="en-US" w:eastAsia="zh-CN"/>
        </w:rPr>
        <w:t>⑦C类期刊中的中文权威期刊，参照《中国科学引文数据库》的核心库目录和《中国社会科学引文索引》（CSSCI）来源期刊目录。每届学生的C刊论文认定以入学当年最新版的期刊目录为准。</w:t>
      </w:r>
    </w:p>
    <w:p w14:paraId="2D44BF8D">
      <w:pPr>
        <w:keepNext w:val="0"/>
        <w:keepLines w:val="0"/>
        <w:pageBreakBefore w:val="0"/>
        <w:widowControl w:val="0"/>
        <w:kinsoku/>
        <w:wordWrap/>
        <w:overflowPunct/>
        <w:topLinePunct w:val="0"/>
        <w:autoSpaceDE/>
        <w:autoSpaceDN/>
        <w:bidi w:val="0"/>
        <w:adjustRightInd/>
        <w:snapToGrid/>
        <w:spacing w:line="300" w:lineRule="auto"/>
        <w:ind w:left="0" w:leftChars="0" w:firstLine="400" w:firstLineChars="200"/>
        <w:textAlignment w:val="auto"/>
        <w:rPr>
          <w:rFonts w:hint="eastAsia" w:ascii="Times New Roman" w:hAnsi="Times New Roman" w:eastAsia="宋体" w:cstheme="majorEastAsia"/>
          <w:sz w:val="20"/>
          <w:szCs w:val="20"/>
          <w:highlight w:val="none"/>
          <w:lang w:val="en-US" w:eastAsia="zh-CN"/>
        </w:rPr>
      </w:pPr>
      <w:r>
        <w:rPr>
          <w:rFonts w:hint="eastAsia" w:ascii="Times New Roman" w:hAnsi="Times New Roman" w:eastAsia="宋体" w:cstheme="majorEastAsia"/>
          <w:sz w:val="20"/>
          <w:szCs w:val="20"/>
          <w:highlight w:val="none"/>
          <w:lang w:val="en-US" w:eastAsia="zh-CN"/>
        </w:rPr>
        <w:t>⑧《人民日报》理论版、《文汇报》理论版、《解放日报》理论版、《光明日报》理论周刊头版上发表的理论文章要求字数不少于2000字，不包括书评和会议综述。</w:t>
      </w:r>
    </w:p>
    <w:p w14:paraId="603C334A">
      <w:pPr>
        <w:keepNext w:val="0"/>
        <w:keepLines w:val="0"/>
        <w:pageBreakBefore w:val="0"/>
        <w:widowControl w:val="0"/>
        <w:kinsoku/>
        <w:wordWrap/>
        <w:overflowPunct/>
        <w:topLinePunct w:val="0"/>
        <w:autoSpaceDE/>
        <w:autoSpaceDN/>
        <w:bidi w:val="0"/>
        <w:adjustRightInd/>
        <w:snapToGrid/>
        <w:spacing w:line="300" w:lineRule="auto"/>
        <w:ind w:left="0" w:leftChars="0" w:firstLine="400" w:firstLineChars="200"/>
        <w:textAlignment w:val="auto"/>
        <w:rPr>
          <w:rFonts w:hint="eastAsia" w:ascii="Times New Roman" w:hAnsi="Times New Roman" w:eastAsia="宋体" w:cstheme="majorEastAsia"/>
          <w:sz w:val="20"/>
          <w:szCs w:val="20"/>
          <w:highlight w:val="none"/>
          <w:lang w:val="en-US" w:eastAsia="zh-CN"/>
        </w:rPr>
      </w:pPr>
      <w:r>
        <w:rPr>
          <w:rFonts w:hint="eastAsia" w:ascii="Times New Roman" w:hAnsi="Times New Roman" w:eastAsia="宋体" w:cstheme="majorEastAsia"/>
          <w:sz w:val="20"/>
          <w:szCs w:val="20"/>
          <w:highlight w:val="none"/>
          <w:lang w:val="en-US" w:eastAsia="zh-CN"/>
        </w:rPr>
        <w:t>⑨每届学生的E刊论文认定以入学当年最新版的《中文核心期刊要目总览》为准。</w:t>
      </w:r>
    </w:p>
    <w:p w14:paraId="0DC2C9E1">
      <w:pPr>
        <w:keepNext w:val="0"/>
        <w:keepLines w:val="0"/>
        <w:pageBreakBefore w:val="0"/>
        <w:widowControl w:val="0"/>
        <w:kinsoku/>
        <w:wordWrap/>
        <w:overflowPunct/>
        <w:topLinePunct w:val="0"/>
        <w:autoSpaceDE/>
        <w:autoSpaceDN/>
        <w:bidi w:val="0"/>
        <w:adjustRightInd/>
        <w:snapToGrid/>
        <w:spacing w:line="300" w:lineRule="auto"/>
        <w:ind w:left="0" w:leftChars="0" w:firstLine="400" w:firstLineChars="200"/>
        <w:textAlignment w:val="auto"/>
        <w:rPr>
          <w:rFonts w:hint="eastAsia" w:ascii="Times New Roman" w:hAnsi="Times New Roman" w:eastAsia="宋体" w:cstheme="majorEastAsia"/>
          <w:sz w:val="20"/>
          <w:szCs w:val="20"/>
          <w:highlight w:val="none"/>
          <w:lang w:val="en-US" w:eastAsia="zh-CN"/>
        </w:rPr>
      </w:pPr>
      <w:r>
        <w:rPr>
          <w:rFonts w:hint="eastAsia" w:ascii="Times New Roman" w:hAnsi="Times New Roman" w:eastAsia="宋体" w:cstheme="majorEastAsia"/>
          <w:sz w:val="20"/>
          <w:szCs w:val="20"/>
          <w:highlight w:val="none"/>
          <w:lang w:val="en-US" w:eastAsia="zh-CN"/>
        </w:rPr>
        <w:t>⑩关于EI会议论文的补充规定：</w:t>
      </w:r>
    </w:p>
    <w:p w14:paraId="3CDBC366">
      <w:pPr>
        <w:keepNext w:val="0"/>
        <w:keepLines w:val="0"/>
        <w:pageBreakBefore w:val="0"/>
        <w:widowControl w:val="0"/>
        <w:kinsoku/>
        <w:wordWrap/>
        <w:overflowPunct/>
        <w:topLinePunct w:val="0"/>
        <w:autoSpaceDE/>
        <w:autoSpaceDN/>
        <w:bidi w:val="0"/>
        <w:adjustRightInd/>
        <w:snapToGrid/>
        <w:spacing w:line="300" w:lineRule="auto"/>
        <w:ind w:left="0" w:leftChars="0" w:firstLine="400" w:firstLineChars="200"/>
        <w:textAlignment w:val="auto"/>
        <w:rPr>
          <w:rFonts w:hint="eastAsia" w:ascii="Times New Roman" w:hAnsi="Times New Roman" w:eastAsia="宋体" w:cstheme="majorEastAsia"/>
          <w:sz w:val="20"/>
          <w:szCs w:val="20"/>
          <w:highlight w:val="none"/>
          <w:lang w:val="en-US" w:eastAsia="zh-CN"/>
        </w:rPr>
      </w:pPr>
      <w:r>
        <w:rPr>
          <w:rFonts w:hint="eastAsia" w:ascii="Times New Roman" w:hAnsi="Times New Roman" w:eastAsia="宋体" w:cstheme="majorEastAsia"/>
          <w:sz w:val="20"/>
          <w:szCs w:val="20"/>
          <w:highlight w:val="none"/>
          <w:lang w:val="en-US" w:eastAsia="zh-CN"/>
        </w:rPr>
        <w:t>A.若EI会议论文上无导师或经学院确认的其他老师署名，无论可检索与否，均不得分；</w:t>
      </w:r>
    </w:p>
    <w:p w14:paraId="37544852">
      <w:pPr>
        <w:keepNext w:val="0"/>
        <w:keepLines w:val="0"/>
        <w:pageBreakBefore w:val="0"/>
        <w:widowControl w:val="0"/>
        <w:kinsoku/>
        <w:wordWrap/>
        <w:overflowPunct/>
        <w:topLinePunct w:val="0"/>
        <w:autoSpaceDE/>
        <w:autoSpaceDN/>
        <w:bidi w:val="0"/>
        <w:adjustRightInd/>
        <w:snapToGrid/>
        <w:spacing w:line="300" w:lineRule="auto"/>
        <w:ind w:left="0" w:leftChars="0" w:firstLine="400" w:firstLineChars="200"/>
        <w:textAlignment w:val="auto"/>
        <w:rPr>
          <w:rFonts w:hint="eastAsia" w:ascii="Times New Roman" w:hAnsi="Times New Roman" w:eastAsia="宋体" w:cstheme="majorEastAsia"/>
          <w:sz w:val="20"/>
          <w:szCs w:val="20"/>
          <w:highlight w:val="none"/>
          <w:lang w:val="en-US" w:eastAsia="zh-CN"/>
        </w:rPr>
      </w:pPr>
      <w:r>
        <w:rPr>
          <w:rFonts w:hint="eastAsia" w:ascii="Times New Roman" w:hAnsi="Times New Roman" w:eastAsia="宋体" w:cstheme="majorEastAsia"/>
          <w:sz w:val="20"/>
          <w:szCs w:val="20"/>
          <w:highlight w:val="none"/>
          <w:lang w:val="en-US" w:eastAsia="zh-CN"/>
        </w:rPr>
        <w:t>B.若EI会议论文上有导师或经学院确认的其他老师署名，且可检索，得1分；</w:t>
      </w:r>
    </w:p>
    <w:p w14:paraId="26D56ED7">
      <w:pPr>
        <w:keepNext w:val="0"/>
        <w:keepLines w:val="0"/>
        <w:pageBreakBefore w:val="0"/>
        <w:widowControl w:val="0"/>
        <w:kinsoku/>
        <w:wordWrap/>
        <w:overflowPunct/>
        <w:topLinePunct w:val="0"/>
        <w:autoSpaceDE/>
        <w:autoSpaceDN/>
        <w:bidi w:val="0"/>
        <w:adjustRightInd/>
        <w:snapToGrid/>
        <w:spacing w:line="300" w:lineRule="auto"/>
        <w:ind w:left="0" w:leftChars="0" w:firstLine="400" w:firstLineChars="200"/>
        <w:textAlignment w:val="auto"/>
        <w:rPr>
          <w:rFonts w:hint="eastAsia" w:ascii="Times New Roman" w:hAnsi="Times New Roman" w:eastAsia="宋体" w:cstheme="majorEastAsia"/>
          <w:sz w:val="20"/>
          <w:szCs w:val="20"/>
          <w:highlight w:val="none"/>
          <w:lang w:val="en-US" w:eastAsia="zh-CN"/>
        </w:rPr>
      </w:pPr>
      <w:r>
        <w:rPr>
          <w:rFonts w:hint="eastAsia" w:ascii="Times New Roman" w:hAnsi="Times New Roman" w:eastAsia="宋体" w:cstheme="majorEastAsia"/>
          <w:sz w:val="20"/>
          <w:szCs w:val="20"/>
          <w:highlight w:val="none"/>
          <w:lang w:val="en-US" w:eastAsia="zh-CN"/>
        </w:rPr>
        <w:t>C.若EI会议论文上有导师或经学院确认的其他老师署名，论文已录用未见刊或已见刊未检索，得分减半，得0.5分。</w:t>
      </w:r>
    </w:p>
    <w:p w14:paraId="4C754706">
      <w:pPr>
        <w:keepNext w:val="0"/>
        <w:keepLines w:val="0"/>
        <w:pageBreakBefore w:val="0"/>
        <w:widowControl w:val="0"/>
        <w:kinsoku/>
        <w:wordWrap/>
        <w:overflowPunct/>
        <w:topLinePunct w:val="0"/>
        <w:autoSpaceDE/>
        <w:autoSpaceDN/>
        <w:bidi w:val="0"/>
        <w:adjustRightInd/>
        <w:snapToGrid/>
        <w:spacing w:line="300" w:lineRule="auto"/>
        <w:ind w:left="0" w:leftChars="0" w:firstLine="400" w:firstLineChars="200"/>
        <w:textAlignment w:val="auto"/>
        <w:rPr>
          <w:rFonts w:hint="eastAsia" w:ascii="Times New Roman" w:hAnsi="Times New Roman" w:eastAsia="宋体" w:cstheme="majorEastAsia"/>
          <w:sz w:val="20"/>
          <w:szCs w:val="20"/>
          <w:highlight w:val="none"/>
          <w:lang w:val="en-US" w:eastAsia="zh-CN"/>
        </w:rPr>
      </w:pPr>
      <w:r>
        <w:rPr>
          <w:rFonts w:hint="eastAsia" w:ascii="Times New Roman" w:hAnsi="Times New Roman" w:eastAsia="宋体" w:cstheme="majorEastAsia"/>
          <w:sz w:val="20"/>
          <w:szCs w:val="20"/>
          <w:highlight w:val="none"/>
          <w:lang w:val="en-US" w:eastAsia="zh-CN"/>
        </w:rPr>
        <w:t>⑪学术论文与学术报告，若采用的是同一篇论文，分数取其高，不兼得。学术报告中EI会议加分要求参考EI会议论文。</w:t>
      </w:r>
    </w:p>
    <w:p w14:paraId="5E9C3B80">
      <w:pPr>
        <w:spacing w:line="320" w:lineRule="exact"/>
        <w:ind w:firstLine="420" w:firstLineChars="200"/>
        <w:rPr>
          <w:rFonts w:hint="eastAsia" w:ascii="宋体" w:hAnsi="宋体" w:cs="宋体"/>
          <w:color w:val="auto"/>
          <w:szCs w:val="21"/>
          <w:highlight w:val="none"/>
        </w:rPr>
      </w:pPr>
    </w:p>
    <w:p w14:paraId="05F32AC6">
      <w:pPr>
        <w:spacing w:line="320" w:lineRule="exact"/>
        <w:ind w:firstLine="422" w:firstLineChars="200"/>
        <w:rPr>
          <w:rFonts w:hint="eastAsia" w:ascii="宋体" w:hAnsi="宋体" w:cs="宋体"/>
          <w:color w:val="auto"/>
          <w:szCs w:val="21"/>
          <w:highlight w:val="yellow"/>
        </w:rPr>
      </w:pPr>
      <w:r>
        <w:rPr>
          <w:rFonts w:hint="eastAsia" w:ascii="宋体" w:hAnsi="宋体" w:cs="宋体"/>
          <w:b/>
          <w:bCs/>
          <w:color w:val="auto"/>
          <w:szCs w:val="21"/>
          <w:highlight w:val="none"/>
        </w:rPr>
        <w:t>（</w:t>
      </w:r>
      <w:r>
        <w:rPr>
          <w:rFonts w:hint="eastAsia" w:ascii="宋体" w:hAnsi="宋体" w:cs="宋体"/>
          <w:b/>
          <w:bCs/>
          <w:color w:val="auto"/>
          <w:szCs w:val="21"/>
          <w:highlight w:val="none"/>
          <w:lang w:val="en-US" w:eastAsia="zh-CN"/>
        </w:rPr>
        <w:t>8</w:t>
      </w:r>
      <w:r>
        <w:rPr>
          <w:rFonts w:hint="eastAsia" w:ascii="宋体" w:hAnsi="宋体" w:cs="宋体"/>
          <w:b/>
          <w:bCs/>
          <w:color w:val="auto"/>
          <w:szCs w:val="21"/>
          <w:highlight w:val="none"/>
        </w:rPr>
        <w:t>）其它成果计分标准（单位：分/项）</w:t>
      </w:r>
    </w:p>
    <w:tbl>
      <w:tblPr>
        <w:tblStyle w:val="7"/>
        <w:tblW w:w="842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3450"/>
        <w:gridCol w:w="619"/>
        <w:gridCol w:w="3501"/>
      </w:tblGrid>
      <w:tr w14:paraId="66CCC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noWrap w:val="0"/>
            <w:vAlign w:val="center"/>
          </w:tcPr>
          <w:p w14:paraId="11890CF3">
            <w:pPr>
              <w:keepNext w:val="0"/>
              <w:keepLines w:val="0"/>
              <w:pageBreakBefore w:val="0"/>
              <w:widowControl w:val="0"/>
              <w:tabs>
                <w:tab w:val="center" w:pos="4153"/>
                <w:tab w:val="right" w:pos="8306"/>
              </w:tabs>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成果种类</w:t>
            </w:r>
          </w:p>
        </w:tc>
        <w:tc>
          <w:tcPr>
            <w:tcW w:w="3450" w:type="dxa"/>
            <w:noWrap w:val="0"/>
            <w:vAlign w:val="center"/>
          </w:tcPr>
          <w:p w14:paraId="6DE8CC80">
            <w:pPr>
              <w:keepNext w:val="0"/>
              <w:keepLines w:val="0"/>
              <w:pageBreakBefore w:val="0"/>
              <w:widowControl w:val="0"/>
              <w:tabs>
                <w:tab w:val="center" w:pos="4153"/>
                <w:tab w:val="right" w:pos="8306"/>
              </w:tabs>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成果范畴</w:t>
            </w:r>
          </w:p>
        </w:tc>
        <w:tc>
          <w:tcPr>
            <w:tcW w:w="619" w:type="dxa"/>
            <w:noWrap w:val="0"/>
            <w:vAlign w:val="center"/>
          </w:tcPr>
          <w:p w14:paraId="31EB6788">
            <w:pPr>
              <w:keepNext w:val="0"/>
              <w:keepLines w:val="0"/>
              <w:pageBreakBefore w:val="0"/>
              <w:widowControl w:val="0"/>
              <w:tabs>
                <w:tab w:val="center" w:pos="4153"/>
                <w:tab w:val="right" w:pos="8306"/>
              </w:tabs>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标准分</w:t>
            </w:r>
          </w:p>
        </w:tc>
        <w:tc>
          <w:tcPr>
            <w:tcW w:w="3501" w:type="dxa"/>
            <w:noWrap w:val="0"/>
            <w:vAlign w:val="center"/>
          </w:tcPr>
          <w:p w14:paraId="2FE21CC3">
            <w:pPr>
              <w:keepNext w:val="0"/>
              <w:keepLines w:val="0"/>
              <w:pageBreakBefore w:val="0"/>
              <w:widowControl w:val="0"/>
              <w:tabs>
                <w:tab w:val="center" w:pos="4153"/>
                <w:tab w:val="right" w:pos="8306"/>
              </w:tabs>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备注</w:t>
            </w:r>
          </w:p>
        </w:tc>
      </w:tr>
      <w:tr w14:paraId="0DC7D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vMerge w:val="restart"/>
            <w:noWrap w:val="0"/>
            <w:vAlign w:val="center"/>
          </w:tcPr>
          <w:p w14:paraId="7D9C51EC">
            <w:pPr>
              <w:keepNext w:val="0"/>
              <w:keepLines w:val="0"/>
              <w:pageBreakBefore w:val="0"/>
              <w:widowControl w:val="0"/>
              <w:tabs>
                <w:tab w:val="center" w:pos="4153"/>
                <w:tab w:val="right" w:pos="8306"/>
              </w:tabs>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研究生学术论坛</w:t>
            </w:r>
          </w:p>
        </w:tc>
        <w:tc>
          <w:tcPr>
            <w:tcW w:w="3450" w:type="dxa"/>
            <w:noWrap w:val="0"/>
            <w:vAlign w:val="center"/>
          </w:tcPr>
          <w:p w14:paraId="536CAF0C">
            <w:pPr>
              <w:keepNext w:val="0"/>
              <w:keepLines w:val="0"/>
              <w:pageBreakBefore w:val="0"/>
              <w:widowControl w:val="0"/>
              <w:tabs>
                <w:tab w:val="center" w:pos="4153"/>
                <w:tab w:val="right" w:pos="8306"/>
              </w:tabs>
              <w:kinsoku/>
              <w:wordWrap/>
              <w:overflowPunct/>
              <w:topLinePunct w:val="0"/>
              <w:autoSpaceDE/>
              <w:autoSpaceDN/>
              <w:bidi w:val="0"/>
              <w:adjustRightInd/>
              <w:snapToGrid/>
              <w:spacing w:line="260" w:lineRule="exact"/>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上海市级研究生学术论坛（二等奖及以上）</w:t>
            </w:r>
          </w:p>
        </w:tc>
        <w:tc>
          <w:tcPr>
            <w:tcW w:w="619" w:type="dxa"/>
            <w:noWrap w:val="0"/>
            <w:vAlign w:val="center"/>
          </w:tcPr>
          <w:p w14:paraId="17AE7380">
            <w:pPr>
              <w:keepNext w:val="0"/>
              <w:keepLines w:val="0"/>
              <w:pageBreakBefore w:val="0"/>
              <w:widowControl w:val="0"/>
              <w:tabs>
                <w:tab w:val="center" w:pos="4153"/>
                <w:tab w:val="right" w:pos="8306"/>
              </w:tabs>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3501" w:type="dxa"/>
            <w:vMerge w:val="restart"/>
            <w:noWrap w:val="0"/>
            <w:vAlign w:val="center"/>
          </w:tcPr>
          <w:p w14:paraId="738AEAA7">
            <w:pPr>
              <w:keepNext w:val="0"/>
              <w:keepLines w:val="0"/>
              <w:pageBreakBefore w:val="0"/>
              <w:widowControl w:val="0"/>
              <w:tabs>
                <w:tab w:val="center" w:pos="4153"/>
                <w:tab w:val="right" w:pos="8306"/>
              </w:tabs>
              <w:kinsoku/>
              <w:wordWrap/>
              <w:overflowPunct/>
              <w:topLinePunct w:val="0"/>
              <w:autoSpaceDE/>
              <w:autoSpaceDN/>
              <w:bidi w:val="0"/>
              <w:adjustRightInd/>
              <w:snapToGrid/>
              <w:spacing w:line="260" w:lineRule="exact"/>
              <w:textAlignment w:val="auto"/>
              <w:rPr>
                <w:rFonts w:hint="eastAsia" w:ascii="宋体" w:hAnsi="宋体" w:eastAsia="宋体" w:cs="宋体"/>
                <w:color w:val="auto"/>
                <w:sz w:val="18"/>
                <w:szCs w:val="18"/>
                <w:highlight w:val="none"/>
              </w:rPr>
            </w:pPr>
          </w:p>
        </w:tc>
      </w:tr>
      <w:tr w14:paraId="4E020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vMerge w:val="continue"/>
            <w:noWrap w:val="0"/>
            <w:vAlign w:val="center"/>
          </w:tcPr>
          <w:p w14:paraId="23B395FC">
            <w:pPr>
              <w:keepNext w:val="0"/>
              <w:keepLines w:val="0"/>
              <w:pageBreakBefore w:val="0"/>
              <w:widowControl w:val="0"/>
              <w:tabs>
                <w:tab w:val="center" w:pos="4153"/>
                <w:tab w:val="right" w:pos="8306"/>
              </w:tabs>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sz w:val="18"/>
                <w:szCs w:val="18"/>
                <w:highlight w:val="none"/>
              </w:rPr>
            </w:pPr>
          </w:p>
        </w:tc>
        <w:tc>
          <w:tcPr>
            <w:tcW w:w="3450" w:type="dxa"/>
            <w:noWrap w:val="0"/>
            <w:vAlign w:val="center"/>
          </w:tcPr>
          <w:p w14:paraId="3E7D065D">
            <w:pPr>
              <w:keepNext w:val="0"/>
              <w:keepLines w:val="0"/>
              <w:pageBreakBefore w:val="0"/>
              <w:widowControl w:val="0"/>
              <w:tabs>
                <w:tab w:val="center" w:pos="4153"/>
                <w:tab w:val="right" w:pos="8306"/>
              </w:tabs>
              <w:kinsoku/>
              <w:wordWrap/>
              <w:overflowPunct/>
              <w:topLinePunct w:val="0"/>
              <w:autoSpaceDE/>
              <w:autoSpaceDN/>
              <w:bidi w:val="0"/>
              <w:adjustRightInd/>
              <w:snapToGrid/>
              <w:spacing w:line="260" w:lineRule="exact"/>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上海市级研究生学术论坛（三等奖）</w:t>
            </w:r>
          </w:p>
        </w:tc>
        <w:tc>
          <w:tcPr>
            <w:tcW w:w="619" w:type="dxa"/>
            <w:noWrap w:val="0"/>
            <w:vAlign w:val="center"/>
          </w:tcPr>
          <w:p w14:paraId="0D4657A0">
            <w:pPr>
              <w:keepNext w:val="0"/>
              <w:keepLines w:val="0"/>
              <w:pageBreakBefore w:val="0"/>
              <w:widowControl w:val="0"/>
              <w:tabs>
                <w:tab w:val="center" w:pos="4153"/>
                <w:tab w:val="right" w:pos="8306"/>
              </w:tabs>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c>
          <w:tcPr>
            <w:tcW w:w="3501" w:type="dxa"/>
            <w:vMerge w:val="continue"/>
            <w:noWrap w:val="0"/>
            <w:vAlign w:val="center"/>
          </w:tcPr>
          <w:p w14:paraId="7C41B368">
            <w:pPr>
              <w:keepNext w:val="0"/>
              <w:keepLines w:val="0"/>
              <w:pageBreakBefore w:val="0"/>
              <w:widowControl w:val="0"/>
              <w:tabs>
                <w:tab w:val="center" w:pos="4153"/>
                <w:tab w:val="right" w:pos="8306"/>
              </w:tabs>
              <w:kinsoku/>
              <w:wordWrap/>
              <w:overflowPunct/>
              <w:topLinePunct w:val="0"/>
              <w:autoSpaceDE/>
              <w:autoSpaceDN/>
              <w:bidi w:val="0"/>
              <w:adjustRightInd/>
              <w:snapToGrid/>
              <w:spacing w:line="260" w:lineRule="exact"/>
              <w:textAlignment w:val="auto"/>
              <w:rPr>
                <w:rFonts w:hint="eastAsia" w:ascii="宋体" w:hAnsi="宋体" w:eastAsia="宋体" w:cs="宋体"/>
                <w:color w:val="auto"/>
                <w:sz w:val="18"/>
                <w:szCs w:val="18"/>
                <w:highlight w:val="none"/>
              </w:rPr>
            </w:pPr>
          </w:p>
        </w:tc>
      </w:tr>
      <w:tr w14:paraId="68B8D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vMerge w:val="continue"/>
            <w:noWrap w:val="0"/>
            <w:vAlign w:val="center"/>
          </w:tcPr>
          <w:p w14:paraId="402643F5">
            <w:pPr>
              <w:keepNext w:val="0"/>
              <w:keepLines w:val="0"/>
              <w:pageBreakBefore w:val="0"/>
              <w:widowControl w:val="0"/>
              <w:tabs>
                <w:tab w:val="center" w:pos="4153"/>
                <w:tab w:val="right" w:pos="8306"/>
              </w:tabs>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sz w:val="18"/>
                <w:szCs w:val="18"/>
                <w:highlight w:val="none"/>
              </w:rPr>
            </w:pPr>
          </w:p>
        </w:tc>
        <w:tc>
          <w:tcPr>
            <w:tcW w:w="3450" w:type="dxa"/>
            <w:noWrap w:val="0"/>
            <w:vAlign w:val="center"/>
          </w:tcPr>
          <w:p w14:paraId="684B2A62">
            <w:pPr>
              <w:keepNext w:val="0"/>
              <w:keepLines w:val="0"/>
              <w:pageBreakBefore w:val="0"/>
              <w:widowControl w:val="0"/>
              <w:tabs>
                <w:tab w:val="center" w:pos="4153"/>
                <w:tab w:val="right" w:pos="8306"/>
              </w:tabs>
              <w:kinsoku/>
              <w:wordWrap/>
              <w:overflowPunct/>
              <w:topLinePunct w:val="0"/>
              <w:autoSpaceDE/>
              <w:autoSpaceDN/>
              <w:bidi w:val="0"/>
              <w:adjustRightInd/>
              <w:snapToGrid/>
              <w:spacing w:line="260" w:lineRule="exact"/>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本校举办的研究生创新学术论坛（一等奖及以上）</w:t>
            </w:r>
          </w:p>
        </w:tc>
        <w:tc>
          <w:tcPr>
            <w:tcW w:w="619" w:type="dxa"/>
            <w:noWrap w:val="0"/>
            <w:vAlign w:val="center"/>
          </w:tcPr>
          <w:p w14:paraId="7B4362C0">
            <w:pPr>
              <w:keepNext w:val="0"/>
              <w:keepLines w:val="0"/>
              <w:pageBreakBefore w:val="0"/>
              <w:widowControl w:val="0"/>
              <w:tabs>
                <w:tab w:val="center" w:pos="4153"/>
                <w:tab w:val="right" w:pos="8306"/>
              </w:tabs>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c>
          <w:tcPr>
            <w:tcW w:w="3501" w:type="dxa"/>
            <w:vMerge w:val="continue"/>
            <w:noWrap w:val="0"/>
            <w:vAlign w:val="center"/>
          </w:tcPr>
          <w:p w14:paraId="0DC59AB3">
            <w:pPr>
              <w:keepNext w:val="0"/>
              <w:keepLines w:val="0"/>
              <w:pageBreakBefore w:val="0"/>
              <w:widowControl w:val="0"/>
              <w:tabs>
                <w:tab w:val="center" w:pos="4153"/>
                <w:tab w:val="right" w:pos="8306"/>
              </w:tabs>
              <w:kinsoku/>
              <w:wordWrap/>
              <w:overflowPunct/>
              <w:topLinePunct w:val="0"/>
              <w:autoSpaceDE/>
              <w:autoSpaceDN/>
              <w:bidi w:val="0"/>
              <w:adjustRightInd/>
              <w:snapToGrid/>
              <w:spacing w:line="260" w:lineRule="exact"/>
              <w:textAlignment w:val="auto"/>
              <w:rPr>
                <w:rFonts w:hint="eastAsia" w:ascii="宋体" w:hAnsi="宋体" w:eastAsia="宋体" w:cs="宋体"/>
                <w:color w:val="auto"/>
                <w:sz w:val="18"/>
                <w:szCs w:val="18"/>
                <w:highlight w:val="none"/>
              </w:rPr>
            </w:pPr>
          </w:p>
        </w:tc>
      </w:tr>
      <w:tr w14:paraId="52E96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vMerge w:val="continue"/>
            <w:noWrap w:val="0"/>
            <w:vAlign w:val="center"/>
          </w:tcPr>
          <w:p w14:paraId="16CAEB2D">
            <w:pPr>
              <w:keepNext w:val="0"/>
              <w:keepLines w:val="0"/>
              <w:pageBreakBefore w:val="0"/>
              <w:widowControl w:val="0"/>
              <w:tabs>
                <w:tab w:val="center" w:pos="4153"/>
                <w:tab w:val="right" w:pos="8306"/>
              </w:tabs>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sz w:val="18"/>
                <w:szCs w:val="18"/>
                <w:highlight w:val="none"/>
              </w:rPr>
            </w:pPr>
          </w:p>
        </w:tc>
        <w:tc>
          <w:tcPr>
            <w:tcW w:w="3450" w:type="dxa"/>
            <w:noWrap w:val="0"/>
            <w:vAlign w:val="center"/>
          </w:tcPr>
          <w:p w14:paraId="0ED8E733">
            <w:pPr>
              <w:keepNext w:val="0"/>
              <w:keepLines w:val="0"/>
              <w:pageBreakBefore w:val="0"/>
              <w:widowControl w:val="0"/>
              <w:tabs>
                <w:tab w:val="center" w:pos="4153"/>
                <w:tab w:val="right" w:pos="8306"/>
              </w:tabs>
              <w:kinsoku/>
              <w:wordWrap/>
              <w:overflowPunct/>
              <w:topLinePunct w:val="0"/>
              <w:autoSpaceDE/>
              <w:autoSpaceDN/>
              <w:bidi w:val="0"/>
              <w:adjustRightInd/>
              <w:snapToGrid/>
              <w:spacing w:line="260" w:lineRule="exact"/>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shd w:val="clear" w:color="auto" w:fill="FFFFFF"/>
              </w:rPr>
              <w:t>中国会计学会、中国审计学会及下辖分会举办的学术会议及论坛（二等奖及以上）</w:t>
            </w:r>
          </w:p>
        </w:tc>
        <w:tc>
          <w:tcPr>
            <w:tcW w:w="619" w:type="dxa"/>
            <w:noWrap w:val="0"/>
            <w:vAlign w:val="center"/>
          </w:tcPr>
          <w:p w14:paraId="13DDF484">
            <w:pPr>
              <w:keepNext w:val="0"/>
              <w:keepLines w:val="0"/>
              <w:pageBreakBefore w:val="0"/>
              <w:widowControl w:val="0"/>
              <w:tabs>
                <w:tab w:val="center" w:pos="4153"/>
                <w:tab w:val="right" w:pos="8306"/>
              </w:tabs>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c>
          <w:tcPr>
            <w:tcW w:w="3501" w:type="dxa"/>
            <w:noWrap w:val="0"/>
            <w:vAlign w:val="center"/>
          </w:tcPr>
          <w:p w14:paraId="5BC56A9E">
            <w:pPr>
              <w:keepNext w:val="0"/>
              <w:keepLines w:val="0"/>
              <w:pageBreakBefore w:val="0"/>
              <w:widowControl w:val="0"/>
              <w:tabs>
                <w:tab w:val="center" w:pos="4153"/>
                <w:tab w:val="right" w:pos="8306"/>
              </w:tabs>
              <w:kinsoku/>
              <w:wordWrap/>
              <w:overflowPunct/>
              <w:topLinePunct w:val="0"/>
              <w:autoSpaceDE/>
              <w:autoSpaceDN/>
              <w:bidi w:val="0"/>
              <w:adjustRightInd/>
              <w:snapToGrid/>
              <w:spacing w:line="260" w:lineRule="exact"/>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仅适用于会计学、财务管理专业</w:t>
            </w:r>
          </w:p>
        </w:tc>
      </w:tr>
      <w:tr w14:paraId="1E188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vMerge w:val="restart"/>
            <w:noWrap w:val="0"/>
            <w:vAlign w:val="center"/>
          </w:tcPr>
          <w:p w14:paraId="78F01027">
            <w:pPr>
              <w:keepNext w:val="0"/>
              <w:keepLines w:val="0"/>
              <w:pageBreakBefore w:val="0"/>
              <w:widowControl w:val="0"/>
              <w:tabs>
                <w:tab w:val="center" w:pos="4153"/>
                <w:tab w:val="right" w:pos="8306"/>
              </w:tabs>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案例</w:t>
            </w:r>
          </w:p>
        </w:tc>
        <w:tc>
          <w:tcPr>
            <w:tcW w:w="3450" w:type="dxa"/>
            <w:noWrap w:val="0"/>
            <w:vAlign w:val="center"/>
          </w:tcPr>
          <w:p w14:paraId="5BCE9BC3">
            <w:pPr>
              <w:keepNext w:val="0"/>
              <w:keepLines w:val="0"/>
              <w:pageBreakBefore w:val="0"/>
              <w:widowControl w:val="0"/>
              <w:tabs>
                <w:tab w:val="center" w:pos="4153"/>
                <w:tab w:val="right" w:pos="8306"/>
              </w:tabs>
              <w:kinsoku/>
              <w:wordWrap/>
              <w:overflowPunct/>
              <w:topLinePunct w:val="0"/>
              <w:autoSpaceDE/>
              <w:autoSpaceDN/>
              <w:bidi w:val="0"/>
              <w:adjustRightInd/>
              <w:snapToGrid/>
              <w:spacing w:line="260" w:lineRule="exact"/>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被国内主要案例中心收录（大连理工大学管理与经济学部、清华经济管理学院、中欧国际工商学院、天津大学、全国MEM、MPAcc教学案例库）</w:t>
            </w:r>
          </w:p>
        </w:tc>
        <w:tc>
          <w:tcPr>
            <w:tcW w:w="619" w:type="dxa"/>
            <w:noWrap w:val="0"/>
            <w:vAlign w:val="center"/>
          </w:tcPr>
          <w:p w14:paraId="5108A26E">
            <w:pPr>
              <w:keepNext w:val="0"/>
              <w:keepLines w:val="0"/>
              <w:pageBreakBefore w:val="0"/>
              <w:widowControl w:val="0"/>
              <w:tabs>
                <w:tab w:val="center" w:pos="4153"/>
                <w:tab w:val="right" w:pos="8306"/>
              </w:tabs>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3501" w:type="dxa"/>
            <w:noWrap w:val="0"/>
            <w:vAlign w:val="center"/>
          </w:tcPr>
          <w:p w14:paraId="164AE435">
            <w:pPr>
              <w:keepNext w:val="0"/>
              <w:keepLines w:val="0"/>
              <w:pageBreakBefore w:val="0"/>
              <w:widowControl w:val="0"/>
              <w:tabs>
                <w:tab w:val="center" w:pos="4153"/>
                <w:tab w:val="right" w:pos="8306"/>
              </w:tabs>
              <w:kinsoku/>
              <w:wordWrap/>
              <w:overflowPunct/>
              <w:topLinePunct w:val="0"/>
              <w:autoSpaceDE/>
              <w:autoSpaceDN/>
              <w:bidi w:val="0"/>
              <w:adjustRightInd/>
              <w:snapToGrid/>
              <w:spacing w:line="260" w:lineRule="exact"/>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仅适用于工商管理一级学科硕士、MBA、MEM、EMBA及MPAcc</w:t>
            </w:r>
          </w:p>
        </w:tc>
      </w:tr>
      <w:tr w14:paraId="480D6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vMerge w:val="continue"/>
            <w:noWrap w:val="0"/>
            <w:vAlign w:val="center"/>
          </w:tcPr>
          <w:p w14:paraId="30EEF113">
            <w:pPr>
              <w:keepNext w:val="0"/>
              <w:keepLines w:val="0"/>
              <w:pageBreakBefore w:val="0"/>
              <w:widowControl w:val="0"/>
              <w:tabs>
                <w:tab w:val="center" w:pos="4153"/>
                <w:tab w:val="right" w:pos="8306"/>
              </w:tabs>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sz w:val="18"/>
                <w:szCs w:val="18"/>
                <w:highlight w:val="none"/>
              </w:rPr>
            </w:pPr>
          </w:p>
        </w:tc>
        <w:tc>
          <w:tcPr>
            <w:tcW w:w="3450" w:type="dxa"/>
            <w:noWrap w:val="0"/>
            <w:vAlign w:val="center"/>
          </w:tcPr>
          <w:p w14:paraId="00D7E133">
            <w:pPr>
              <w:keepNext w:val="0"/>
              <w:keepLines w:val="0"/>
              <w:pageBreakBefore w:val="0"/>
              <w:widowControl w:val="0"/>
              <w:tabs>
                <w:tab w:val="center" w:pos="4153"/>
                <w:tab w:val="right" w:pos="8306"/>
              </w:tabs>
              <w:kinsoku/>
              <w:wordWrap/>
              <w:overflowPunct/>
              <w:topLinePunct w:val="0"/>
              <w:autoSpaceDE/>
              <w:autoSpaceDN/>
              <w:bidi w:val="0"/>
              <w:adjustRightInd/>
              <w:snapToGrid/>
              <w:spacing w:line="260" w:lineRule="exact"/>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学院可根据需要，自行组织考核</w:t>
            </w:r>
          </w:p>
        </w:tc>
        <w:tc>
          <w:tcPr>
            <w:tcW w:w="619" w:type="dxa"/>
            <w:noWrap w:val="0"/>
            <w:vAlign w:val="center"/>
          </w:tcPr>
          <w:p w14:paraId="62AA427D">
            <w:pPr>
              <w:keepNext w:val="0"/>
              <w:keepLines w:val="0"/>
              <w:pageBreakBefore w:val="0"/>
              <w:widowControl w:val="0"/>
              <w:tabs>
                <w:tab w:val="center" w:pos="4153"/>
                <w:tab w:val="right" w:pos="8306"/>
              </w:tabs>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0.5</w:t>
            </w:r>
          </w:p>
        </w:tc>
        <w:tc>
          <w:tcPr>
            <w:tcW w:w="3501" w:type="dxa"/>
            <w:noWrap w:val="0"/>
            <w:vAlign w:val="center"/>
          </w:tcPr>
          <w:p w14:paraId="680FC110">
            <w:pPr>
              <w:keepNext w:val="0"/>
              <w:keepLines w:val="0"/>
              <w:pageBreakBefore w:val="0"/>
              <w:widowControl w:val="0"/>
              <w:tabs>
                <w:tab w:val="center" w:pos="4153"/>
                <w:tab w:val="right" w:pos="8306"/>
              </w:tabs>
              <w:kinsoku/>
              <w:wordWrap/>
              <w:overflowPunct/>
              <w:topLinePunct w:val="0"/>
              <w:autoSpaceDE/>
              <w:autoSpaceDN/>
              <w:bidi w:val="0"/>
              <w:adjustRightInd/>
              <w:snapToGrid/>
              <w:spacing w:line="260" w:lineRule="exact"/>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法律硕士、应用统计、MPAcc</w:t>
            </w:r>
          </w:p>
        </w:tc>
      </w:tr>
      <w:tr w14:paraId="17BAA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vMerge w:val="continue"/>
            <w:noWrap w:val="0"/>
            <w:vAlign w:val="center"/>
          </w:tcPr>
          <w:p w14:paraId="5E3AA965">
            <w:pPr>
              <w:keepNext w:val="0"/>
              <w:keepLines w:val="0"/>
              <w:pageBreakBefore w:val="0"/>
              <w:widowControl w:val="0"/>
              <w:tabs>
                <w:tab w:val="center" w:pos="4153"/>
                <w:tab w:val="right" w:pos="8306"/>
              </w:tabs>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sz w:val="18"/>
                <w:szCs w:val="18"/>
                <w:highlight w:val="none"/>
              </w:rPr>
            </w:pPr>
          </w:p>
        </w:tc>
        <w:tc>
          <w:tcPr>
            <w:tcW w:w="3450" w:type="dxa"/>
            <w:noWrap w:val="0"/>
            <w:vAlign w:val="center"/>
          </w:tcPr>
          <w:p w14:paraId="6FF836B2">
            <w:pPr>
              <w:keepNext w:val="0"/>
              <w:keepLines w:val="0"/>
              <w:pageBreakBefore w:val="0"/>
              <w:widowControl w:val="0"/>
              <w:tabs>
                <w:tab w:val="center" w:pos="4153"/>
                <w:tab w:val="right" w:pos="8306"/>
              </w:tabs>
              <w:kinsoku/>
              <w:wordWrap/>
              <w:overflowPunct/>
              <w:topLinePunct w:val="0"/>
              <w:autoSpaceDE/>
              <w:autoSpaceDN/>
              <w:bidi w:val="0"/>
              <w:adjustRightInd/>
              <w:snapToGrid/>
              <w:spacing w:line="260" w:lineRule="exact"/>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被全国性的法律硕士教指委指导建设的案例库收录</w:t>
            </w:r>
          </w:p>
        </w:tc>
        <w:tc>
          <w:tcPr>
            <w:tcW w:w="619" w:type="dxa"/>
            <w:noWrap w:val="0"/>
            <w:vAlign w:val="center"/>
          </w:tcPr>
          <w:p w14:paraId="7A863439">
            <w:pPr>
              <w:keepNext w:val="0"/>
              <w:keepLines w:val="0"/>
              <w:pageBreakBefore w:val="0"/>
              <w:widowControl w:val="0"/>
              <w:tabs>
                <w:tab w:val="center" w:pos="4153"/>
                <w:tab w:val="right" w:pos="8306"/>
              </w:tabs>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c>
          <w:tcPr>
            <w:tcW w:w="3501" w:type="dxa"/>
            <w:noWrap w:val="0"/>
            <w:vAlign w:val="center"/>
          </w:tcPr>
          <w:p w14:paraId="54A31AA7">
            <w:pPr>
              <w:keepNext w:val="0"/>
              <w:keepLines w:val="0"/>
              <w:pageBreakBefore w:val="0"/>
              <w:widowControl w:val="0"/>
              <w:tabs>
                <w:tab w:val="center" w:pos="4153"/>
                <w:tab w:val="right" w:pos="8306"/>
              </w:tabs>
              <w:kinsoku/>
              <w:wordWrap/>
              <w:overflowPunct/>
              <w:topLinePunct w:val="0"/>
              <w:autoSpaceDE/>
              <w:autoSpaceDN/>
              <w:bidi w:val="0"/>
              <w:adjustRightInd/>
              <w:snapToGrid/>
              <w:spacing w:line="260" w:lineRule="exact"/>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仅适用于法学硕士、法律硕士</w:t>
            </w:r>
          </w:p>
        </w:tc>
      </w:tr>
      <w:tr w14:paraId="24E56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vMerge w:val="restart"/>
            <w:noWrap w:val="0"/>
            <w:vAlign w:val="center"/>
          </w:tcPr>
          <w:p w14:paraId="1BB44874">
            <w:pPr>
              <w:keepNext w:val="0"/>
              <w:keepLines w:val="0"/>
              <w:pageBreakBefore w:val="0"/>
              <w:widowControl w:val="0"/>
              <w:tabs>
                <w:tab w:val="center" w:pos="4153"/>
                <w:tab w:val="right" w:pos="8306"/>
              </w:tabs>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证书考试</w:t>
            </w:r>
          </w:p>
        </w:tc>
        <w:tc>
          <w:tcPr>
            <w:tcW w:w="3450" w:type="dxa"/>
            <w:noWrap w:val="0"/>
            <w:vAlign w:val="center"/>
          </w:tcPr>
          <w:p w14:paraId="71B2B13F">
            <w:pPr>
              <w:keepNext w:val="0"/>
              <w:keepLines w:val="0"/>
              <w:pageBreakBefore w:val="0"/>
              <w:widowControl w:val="0"/>
              <w:tabs>
                <w:tab w:val="center" w:pos="4153"/>
                <w:tab w:val="right" w:pos="8306"/>
              </w:tabs>
              <w:kinsoku/>
              <w:wordWrap/>
              <w:overflowPunct/>
              <w:topLinePunct w:val="0"/>
              <w:autoSpaceDE/>
              <w:autoSpaceDN/>
              <w:bidi w:val="0"/>
              <w:adjustRightInd/>
              <w:snapToGrid/>
              <w:spacing w:line="260" w:lineRule="exact"/>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CFA一级合格（国际注册金融分析师）、FRM一级合格（全球金融风险管理师）证书</w:t>
            </w:r>
          </w:p>
        </w:tc>
        <w:tc>
          <w:tcPr>
            <w:tcW w:w="619" w:type="dxa"/>
            <w:noWrap w:val="0"/>
            <w:vAlign w:val="center"/>
          </w:tcPr>
          <w:p w14:paraId="30852CF0">
            <w:pPr>
              <w:keepNext w:val="0"/>
              <w:keepLines w:val="0"/>
              <w:pageBreakBefore w:val="0"/>
              <w:widowControl w:val="0"/>
              <w:tabs>
                <w:tab w:val="center" w:pos="4153"/>
                <w:tab w:val="right" w:pos="8306"/>
              </w:tabs>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c>
          <w:tcPr>
            <w:tcW w:w="3501" w:type="dxa"/>
            <w:noWrap w:val="0"/>
            <w:vAlign w:val="center"/>
          </w:tcPr>
          <w:p w14:paraId="6A7FBBF5">
            <w:pPr>
              <w:keepNext w:val="0"/>
              <w:keepLines w:val="0"/>
              <w:pageBreakBefore w:val="0"/>
              <w:widowControl w:val="0"/>
              <w:tabs>
                <w:tab w:val="center" w:pos="4153"/>
                <w:tab w:val="right" w:pos="8306"/>
              </w:tabs>
              <w:kinsoku/>
              <w:wordWrap/>
              <w:overflowPunct/>
              <w:topLinePunct w:val="0"/>
              <w:autoSpaceDE/>
              <w:autoSpaceDN/>
              <w:bidi w:val="0"/>
              <w:adjustRightInd/>
              <w:snapToGrid/>
              <w:spacing w:line="260" w:lineRule="exact"/>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仅适用于经济类专业</w:t>
            </w:r>
          </w:p>
        </w:tc>
      </w:tr>
      <w:tr w14:paraId="63C27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vMerge w:val="continue"/>
            <w:noWrap w:val="0"/>
            <w:vAlign w:val="top"/>
          </w:tcPr>
          <w:p w14:paraId="703B518C">
            <w:pPr>
              <w:keepNext w:val="0"/>
              <w:keepLines w:val="0"/>
              <w:pageBreakBefore w:val="0"/>
              <w:widowControl w:val="0"/>
              <w:tabs>
                <w:tab w:val="center" w:pos="4153"/>
                <w:tab w:val="right" w:pos="8306"/>
              </w:tabs>
              <w:kinsoku/>
              <w:wordWrap/>
              <w:overflowPunct/>
              <w:topLinePunct w:val="0"/>
              <w:autoSpaceDE/>
              <w:autoSpaceDN/>
              <w:bidi w:val="0"/>
              <w:adjustRightInd/>
              <w:snapToGrid/>
              <w:spacing w:line="260" w:lineRule="exact"/>
              <w:textAlignment w:val="auto"/>
              <w:rPr>
                <w:rFonts w:hint="eastAsia" w:ascii="宋体" w:hAnsi="宋体" w:eastAsia="宋体" w:cs="宋体"/>
                <w:color w:val="auto"/>
                <w:sz w:val="18"/>
                <w:szCs w:val="18"/>
                <w:highlight w:val="none"/>
              </w:rPr>
            </w:pPr>
          </w:p>
        </w:tc>
        <w:tc>
          <w:tcPr>
            <w:tcW w:w="3450" w:type="dxa"/>
            <w:noWrap w:val="0"/>
            <w:vAlign w:val="center"/>
          </w:tcPr>
          <w:p w14:paraId="36C67DD0">
            <w:pPr>
              <w:keepNext w:val="0"/>
              <w:keepLines w:val="0"/>
              <w:pageBreakBefore w:val="0"/>
              <w:widowControl w:val="0"/>
              <w:tabs>
                <w:tab w:val="center" w:pos="4153"/>
                <w:tab w:val="right" w:pos="8306"/>
              </w:tabs>
              <w:kinsoku/>
              <w:wordWrap/>
              <w:overflowPunct/>
              <w:topLinePunct w:val="0"/>
              <w:autoSpaceDE/>
              <w:autoSpaceDN/>
              <w:bidi w:val="0"/>
              <w:adjustRightInd/>
              <w:snapToGrid/>
              <w:spacing w:line="260" w:lineRule="exact"/>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获得“上海市高级口译”证书、人事部翻译资格考试（二级）证书</w:t>
            </w:r>
          </w:p>
        </w:tc>
        <w:tc>
          <w:tcPr>
            <w:tcW w:w="619" w:type="dxa"/>
            <w:noWrap w:val="0"/>
            <w:vAlign w:val="center"/>
          </w:tcPr>
          <w:p w14:paraId="5790DB1C">
            <w:pPr>
              <w:keepNext w:val="0"/>
              <w:keepLines w:val="0"/>
              <w:pageBreakBefore w:val="0"/>
              <w:widowControl w:val="0"/>
              <w:tabs>
                <w:tab w:val="center" w:pos="4153"/>
                <w:tab w:val="right" w:pos="8306"/>
              </w:tabs>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c>
          <w:tcPr>
            <w:tcW w:w="3501" w:type="dxa"/>
            <w:noWrap w:val="0"/>
            <w:vAlign w:val="center"/>
          </w:tcPr>
          <w:p w14:paraId="1110EFC8">
            <w:pPr>
              <w:keepNext w:val="0"/>
              <w:keepLines w:val="0"/>
              <w:pageBreakBefore w:val="0"/>
              <w:widowControl w:val="0"/>
              <w:tabs>
                <w:tab w:val="center" w:pos="4153"/>
                <w:tab w:val="right" w:pos="8306"/>
              </w:tabs>
              <w:kinsoku/>
              <w:wordWrap/>
              <w:overflowPunct/>
              <w:topLinePunct w:val="0"/>
              <w:autoSpaceDE/>
              <w:autoSpaceDN/>
              <w:bidi w:val="0"/>
              <w:adjustRightInd/>
              <w:snapToGrid/>
              <w:spacing w:line="260" w:lineRule="exact"/>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仅适用于翻译硕士与外国语言文学</w:t>
            </w:r>
          </w:p>
        </w:tc>
      </w:tr>
      <w:tr w14:paraId="69E72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vMerge w:val="continue"/>
            <w:noWrap w:val="0"/>
            <w:vAlign w:val="top"/>
          </w:tcPr>
          <w:p w14:paraId="41B0DDB6">
            <w:pPr>
              <w:keepNext w:val="0"/>
              <w:keepLines w:val="0"/>
              <w:pageBreakBefore w:val="0"/>
              <w:widowControl w:val="0"/>
              <w:tabs>
                <w:tab w:val="center" w:pos="4153"/>
                <w:tab w:val="right" w:pos="8306"/>
              </w:tabs>
              <w:kinsoku/>
              <w:wordWrap/>
              <w:overflowPunct/>
              <w:topLinePunct w:val="0"/>
              <w:autoSpaceDE/>
              <w:autoSpaceDN/>
              <w:bidi w:val="0"/>
              <w:adjustRightInd/>
              <w:snapToGrid/>
              <w:spacing w:line="260" w:lineRule="exact"/>
              <w:textAlignment w:val="auto"/>
              <w:rPr>
                <w:rFonts w:hint="eastAsia" w:ascii="宋体" w:hAnsi="宋体" w:eastAsia="宋体" w:cs="宋体"/>
                <w:color w:val="auto"/>
                <w:sz w:val="18"/>
                <w:szCs w:val="18"/>
                <w:highlight w:val="none"/>
              </w:rPr>
            </w:pPr>
          </w:p>
        </w:tc>
        <w:tc>
          <w:tcPr>
            <w:tcW w:w="3450" w:type="dxa"/>
            <w:noWrap w:val="0"/>
            <w:vAlign w:val="center"/>
          </w:tcPr>
          <w:p w14:paraId="0DC4CA9F">
            <w:pPr>
              <w:keepNext w:val="0"/>
              <w:keepLines w:val="0"/>
              <w:pageBreakBefore w:val="0"/>
              <w:widowControl w:val="0"/>
              <w:tabs>
                <w:tab w:val="center" w:pos="4153"/>
                <w:tab w:val="right" w:pos="8306"/>
              </w:tabs>
              <w:kinsoku/>
              <w:wordWrap/>
              <w:overflowPunct/>
              <w:topLinePunct w:val="0"/>
              <w:autoSpaceDE/>
              <w:autoSpaceDN/>
              <w:bidi w:val="0"/>
              <w:adjustRightInd/>
              <w:snapToGrid/>
              <w:spacing w:line="260" w:lineRule="exact"/>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通过国家统一法律职业资格考试，或者具有法律职业资格</w:t>
            </w:r>
          </w:p>
        </w:tc>
        <w:tc>
          <w:tcPr>
            <w:tcW w:w="619" w:type="dxa"/>
            <w:noWrap w:val="0"/>
            <w:vAlign w:val="center"/>
          </w:tcPr>
          <w:p w14:paraId="2020A21C">
            <w:pPr>
              <w:keepNext w:val="0"/>
              <w:keepLines w:val="0"/>
              <w:pageBreakBefore w:val="0"/>
              <w:widowControl w:val="0"/>
              <w:tabs>
                <w:tab w:val="center" w:pos="4153"/>
                <w:tab w:val="right" w:pos="8306"/>
              </w:tabs>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c>
          <w:tcPr>
            <w:tcW w:w="3501" w:type="dxa"/>
            <w:noWrap w:val="0"/>
            <w:vAlign w:val="center"/>
          </w:tcPr>
          <w:p w14:paraId="1A8966CE">
            <w:pPr>
              <w:keepNext w:val="0"/>
              <w:keepLines w:val="0"/>
              <w:pageBreakBefore w:val="0"/>
              <w:widowControl w:val="0"/>
              <w:tabs>
                <w:tab w:val="center" w:pos="4153"/>
                <w:tab w:val="right" w:pos="8306"/>
              </w:tabs>
              <w:kinsoku/>
              <w:wordWrap/>
              <w:overflowPunct/>
              <w:topLinePunct w:val="0"/>
              <w:autoSpaceDE/>
              <w:autoSpaceDN/>
              <w:bidi w:val="0"/>
              <w:adjustRightInd/>
              <w:snapToGrid/>
              <w:spacing w:line="260" w:lineRule="exact"/>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仅适用于法学硕士、法律硕士</w:t>
            </w:r>
          </w:p>
        </w:tc>
      </w:tr>
      <w:tr w14:paraId="029FC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noWrap w:val="0"/>
            <w:vAlign w:val="center"/>
          </w:tcPr>
          <w:p w14:paraId="68930C86">
            <w:pPr>
              <w:keepNext w:val="0"/>
              <w:keepLines w:val="0"/>
              <w:pageBreakBefore w:val="0"/>
              <w:widowControl w:val="0"/>
              <w:tabs>
                <w:tab w:val="center" w:pos="4153"/>
                <w:tab w:val="right" w:pos="8306"/>
              </w:tabs>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20"/>
                <w:highlight w:val="none"/>
              </w:rPr>
              <w:t>证书及专业竞赛</w:t>
            </w:r>
          </w:p>
        </w:tc>
        <w:tc>
          <w:tcPr>
            <w:tcW w:w="3450" w:type="dxa"/>
            <w:noWrap w:val="0"/>
            <w:vAlign w:val="center"/>
          </w:tcPr>
          <w:p w14:paraId="4DEF7CE3">
            <w:pPr>
              <w:keepNext w:val="0"/>
              <w:keepLines w:val="0"/>
              <w:pageBreakBefore w:val="0"/>
              <w:widowControl w:val="0"/>
              <w:tabs>
                <w:tab w:val="center" w:pos="4153"/>
                <w:tab w:val="right" w:pos="8306"/>
              </w:tabs>
              <w:kinsoku/>
              <w:wordWrap/>
              <w:overflowPunct/>
              <w:topLinePunct w:val="0"/>
              <w:autoSpaceDE/>
              <w:autoSpaceDN/>
              <w:bidi w:val="0"/>
              <w:adjustRightInd/>
              <w:snapToGrid/>
              <w:spacing w:line="260" w:lineRule="exact"/>
              <w:textAlignment w:val="auto"/>
              <w:rPr>
                <w:rFonts w:hint="eastAsia" w:ascii="宋体" w:hAnsi="宋体" w:eastAsia="宋体" w:cs="宋体"/>
                <w:color w:val="auto"/>
                <w:sz w:val="20"/>
                <w:highlight w:val="none"/>
              </w:rPr>
            </w:pPr>
            <w:r>
              <w:rPr>
                <w:rFonts w:hint="eastAsia" w:ascii="宋体" w:hAnsi="宋体" w:eastAsia="宋体" w:cs="宋体"/>
                <w:color w:val="auto"/>
                <w:sz w:val="20"/>
                <w:highlight w:val="none"/>
              </w:rPr>
              <w:t>获得国际汉语教师证书，或获得下列专业竞赛二等奖及以上：</w:t>
            </w:r>
          </w:p>
          <w:p w14:paraId="17A42E6E">
            <w:pPr>
              <w:pStyle w:val="10"/>
              <w:keepNext w:val="0"/>
              <w:keepLines w:val="0"/>
              <w:pageBreakBefore w:val="0"/>
              <w:widowControl w:val="0"/>
              <w:numPr>
                <w:ilvl w:val="0"/>
                <w:numId w:val="2"/>
              </w:numPr>
              <w:kinsoku/>
              <w:wordWrap/>
              <w:overflowPunct/>
              <w:topLinePunct w:val="0"/>
              <w:autoSpaceDE/>
              <w:autoSpaceDN/>
              <w:bidi w:val="0"/>
              <w:adjustRightInd/>
              <w:snapToGrid/>
              <w:spacing w:line="260" w:lineRule="exact"/>
              <w:ind w:left="420" w:leftChars="0" w:hanging="420" w:firstLineChars="0"/>
              <w:textAlignment w:val="auto"/>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全国汉语国际教育教学技能大赛</w:t>
            </w:r>
          </w:p>
          <w:p w14:paraId="7771507C">
            <w:pPr>
              <w:pStyle w:val="10"/>
              <w:keepNext w:val="0"/>
              <w:keepLines w:val="0"/>
              <w:pageBreakBefore w:val="0"/>
              <w:widowControl w:val="0"/>
              <w:numPr>
                <w:ilvl w:val="0"/>
                <w:numId w:val="2"/>
              </w:numPr>
              <w:kinsoku/>
              <w:wordWrap/>
              <w:overflowPunct/>
              <w:topLinePunct w:val="0"/>
              <w:autoSpaceDE/>
              <w:autoSpaceDN/>
              <w:bidi w:val="0"/>
              <w:adjustRightInd/>
              <w:snapToGrid/>
              <w:spacing w:line="260" w:lineRule="exact"/>
              <w:ind w:left="420" w:leftChars="0" w:hanging="420" w:firstLineChars="0"/>
              <w:textAlignment w:val="auto"/>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全国高校汉语国际教育专业研究生教学技能大赛</w:t>
            </w:r>
          </w:p>
          <w:p w14:paraId="5BAE35AD">
            <w:pPr>
              <w:pStyle w:val="10"/>
              <w:keepNext w:val="0"/>
              <w:keepLines w:val="0"/>
              <w:pageBreakBefore w:val="0"/>
              <w:widowControl w:val="0"/>
              <w:numPr>
                <w:ilvl w:val="0"/>
                <w:numId w:val="2"/>
              </w:numPr>
              <w:kinsoku/>
              <w:wordWrap/>
              <w:overflowPunct/>
              <w:topLinePunct w:val="0"/>
              <w:autoSpaceDE/>
              <w:autoSpaceDN/>
              <w:bidi w:val="0"/>
              <w:adjustRightInd/>
              <w:snapToGrid/>
              <w:spacing w:line="260" w:lineRule="exact"/>
              <w:ind w:left="420" w:leftChars="0" w:hanging="420" w:firstLineChars="0"/>
              <w:textAlignment w:val="auto"/>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全国研究生汉语教学微课大赛</w:t>
            </w:r>
          </w:p>
          <w:p w14:paraId="54A64A01">
            <w:pPr>
              <w:pStyle w:val="10"/>
              <w:keepNext w:val="0"/>
              <w:keepLines w:val="0"/>
              <w:pageBreakBefore w:val="0"/>
              <w:widowControl w:val="0"/>
              <w:numPr>
                <w:ilvl w:val="0"/>
                <w:numId w:val="2"/>
              </w:numPr>
              <w:kinsoku/>
              <w:wordWrap/>
              <w:overflowPunct/>
              <w:topLinePunct w:val="0"/>
              <w:autoSpaceDE/>
              <w:autoSpaceDN/>
              <w:bidi w:val="0"/>
              <w:adjustRightInd/>
              <w:snapToGrid/>
              <w:spacing w:line="260" w:lineRule="exact"/>
              <w:ind w:left="420" w:leftChars="0" w:hanging="420" w:firstLineChars="0"/>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20"/>
                <w:szCs w:val="20"/>
                <w:highlight w:val="none"/>
              </w:rPr>
              <w:t>江浙沪汉语国际教育硕士（国际中文教育硕士）教学技能暨中华才艺大赛</w:t>
            </w:r>
          </w:p>
        </w:tc>
        <w:tc>
          <w:tcPr>
            <w:tcW w:w="619" w:type="dxa"/>
            <w:noWrap w:val="0"/>
            <w:vAlign w:val="center"/>
          </w:tcPr>
          <w:p w14:paraId="5E972D72">
            <w:pPr>
              <w:keepNext w:val="0"/>
              <w:keepLines w:val="0"/>
              <w:pageBreakBefore w:val="0"/>
              <w:widowControl w:val="0"/>
              <w:tabs>
                <w:tab w:val="center" w:pos="4153"/>
                <w:tab w:val="right" w:pos="8306"/>
              </w:tabs>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20"/>
                <w:highlight w:val="none"/>
              </w:rPr>
              <w:t>1</w:t>
            </w:r>
          </w:p>
        </w:tc>
        <w:tc>
          <w:tcPr>
            <w:tcW w:w="3501" w:type="dxa"/>
            <w:noWrap w:val="0"/>
            <w:vAlign w:val="center"/>
          </w:tcPr>
          <w:p w14:paraId="50CF130C">
            <w:pPr>
              <w:keepNext w:val="0"/>
              <w:keepLines w:val="0"/>
              <w:pageBreakBefore w:val="0"/>
              <w:widowControl w:val="0"/>
              <w:tabs>
                <w:tab w:val="center" w:pos="4153"/>
                <w:tab w:val="right" w:pos="8306"/>
              </w:tabs>
              <w:kinsoku/>
              <w:wordWrap/>
              <w:overflowPunct/>
              <w:topLinePunct w:val="0"/>
              <w:autoSpaceDE/>
              <w:autoSpaceDN/>
              <w:bidi w:val="0"/>
              <w:adjustRightInd/>
              <w:snapToGrid/>
              <w:spacing w:line="260" w:lineRule="exact"/>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20"/>
                <w:highlight w:val="none"/>
              </w:rPr>
              <w:t>仅适用于汉语国际教育硕士（国际中文教育硕士）</w:t>
            </w:r>
          </w:p>
        </w:tc>
      </w:tr>
      <w:tr w14:paraId="47D1F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noWrap w:val="0"/>
            <w:vAlign w:val="center"/>
          </w:tcPr>
          <w:p w14:paraId="3DE919B4">
            <w:pPr>
              <w:keepNext w:val="0"/>
              <w:keepLines w:val="0"/>
              <w:pageBreakBefore w:val="0"/>
              <w:widowControl w:val="0"/>
              <w:tabs>
                <w:tab w:val="center" w:pos="4153"/>
                <w:tab w:val="right" w:pos="8306"/>
              </w:tabs>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20"/>
                <w:highlight w:val="none"/>
              </w:rPr>
              <w:t>语言实践</w:t>
            </w:r>
            <w:r>
              <w:rPr>
                <w:rFonts w:hint="eastAsia" w:ascii="宋体" w:hAnsi="宋体" w:eastAsia="宋体" w:cs="宋体"/>
                <w:color w:val="auto"/>
                <w:sz w:val="20"/>
                <w:highlight w:val="none"/>
              </w:rPr>
              <w:tab/>
            </w:r>
            <w:r>
              <w:rPr>
                <w:rFonts w:hint="eastAsia" w:ascii="宋体" w:hAnsi="宋体" w:eastAsia="宋体" w:cs="宋体"/>
                <w:color w:val="auto"/>
                <w:sz w:val="20"/>
                <w:highlight w:val="none"/>
              </w:rPr>
              <w:t>由学位评定分委员会认定的翻译实践成果及教学实践成果</w:t>
            </w:r>
            <w:r>
              <w:rPr>
                <w:rFonts w:hint="eastAsia" w:ascii="宋体" w:hAnsi="宋体" w:eastAsia="宋体" w:cs="宋体"/>
                <w:color w:val="auto"/>
                <w:sz w:val="20"/>
                <w:highlight w:val="none"/>
              </w:rPr>
              <w:tab/>
            </w:r>
            <w:r>
              <w:rPr>
                <w:rFonts w:hint="eastAsia" w:ascii="宋体" w:hAnsi="宋体" w:eastAsia="宋体" w:cs="宋体"/>
                <w:color w:val="auto"/>
                <w:sz w:val="20"/>
                <w:highlight w:val="none"/>
              </w:rPr>
              <w:t>1</w:t>
            </w:r>
            <w:r>
              <w:rPr>
                <w:rFonts w:hint="eastAsia" w:ascii="宋体" w:hAnsi="宋体" w:eastAsia="宋体" w:cs="宋体"/>
                <w:color w:val="auto"/>
                <w:sz w:val="20"/>
                <w:highlight w:val="none"/>
              </w:rPr>
              <w:tab/>
            </w:r>
            <w:r>
              <w:rPr>
                <w:rFonts w:hint="eastAsia" w:ascii="宋体" w:hAnsi="宋体" w:eastAsia="宋体" w:cs="宋体"/>
                <w:color w:val="auto"/>
                <w:sz w:val="20"/>
                <w:highlight w:val="none"/>
              </w:rPr>
              <w:t>仅适用于外国语言文学、翻译硕士、汉语国际教育硕士（国际中文教育硕士）</w:t>
            </w:r>
          </w:p>
        </w:tc>
        <w:tc>
          <w:tcPr>
            <w:tcW w:w="3450" w:type="dxa"/>
            <w:noWrap w:val="0"/>
            <w:vAlign w:val="center"/>
          </w:tcPr>
          <w:p w14:paraId="3D28B90F">
            <w:pPr>
              <w:pStyle w:val="10"/>
              <w:keepNext w:val="0"/>
              <w:keepLines w:val="0"/>
              <w:pageBreakBefore w:val="0"/>
              <w:widowControl w:val="0"/>
              <w:kinsoku/>
              <w:wordWrap/>
              <w:overflowPunct/>
              <w:topLinePunct w:val="0"/>
              <w:autoSpaceDE/>
              <w:autoSpaceDN/>
              <w:bidi w:val="0"/>
              <w:adjustRightInd/>
              <w:snapToGrid/>
              <w:spacing w:line="260" w:lineRule="exact"/>
              <w:ind w:firstLine="0" w:firstLineChars="0"/>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20"/>
                <w:szCs w:val="20"/>
                <w:highlight w:val="none"/>
              </w:rPr>
              <w:t>由学位评定分委员会认定的翻译实践成果及教学实践成果</w:t>
            </w:r>
          </w:p>
        </w:tc>
        <w:tc>
          <w:tcPr>
            <w:tcW w:w="619" w:type="dxa"/>
            <w:noWrap w:val="0"/>
            <w:vAlign w:val="center"/>
          </w:tcPr>
          <w:p w14:paraId="3FE9A124">
            <w:pPr>
              <w:keepNext w:val="0"/>
              <w:keepLines w:val="0"/>
              <w:pageBreakBefore w:val="0"/>
              <w:widowControl w:val="0"/>
              <w:tabs>
                <w:tab w:val="center" w:pos="4153"/>
                <w:tab w:val="right" w:pos="8306"/>
              </w:tabs>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20"/>
                <w:highlight w:val="none"/>
              </w:rPr>
              <w:t>1</w:t>
            </w:r>
          </w:p>
        </w:tc>
        <w:tc>
          <w:tcPr>
            <w:tcW w:w="3501" w:type="dxa"/>
            <w:noWrap w:val="0"/>
            <w:vAlign w:val="center"/>
          </w:tcPr>
          <w:p w14:paraId="068C4931">
            <w:pPr>
              <w:keepNext w:val="0"/>
              <w:keepLines w:val="0"/>
              <w:pageBreakBefore w:val="0"/>
              <w:widowControl w:val="0"/>
              <w:tabs>
                <w:tab w:val="center" w:pos="4153"/>
                <w:tab w:val="right" w:pos="8306"/>
              </w:tabs>
              <w:kinsoku/>
              <w:wordWrap/>
              <w:overflowPunct/>
              <w:topLinePunct w:val="0"/>
              <w:autoSpaceDE/>
              <w:autoSpaceDN/>
              <w:bidi w:val="0"/>
              <w:adjustRightInd/>
              <w:snapToGrid/>
              <w:spacing w:line="260" w:lineRule="exact"/>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20"/>
                <w:highlight w:val="none"/>
              </w:rPr>
              <w:t>仅适用于外国语言文学、翻译硕士、汉语国际教育硕士（国际中文教育硕士）</w:t>
            </w:r>
          </w:p>
        </w:tc>
      </w:tr>
    </w:tbl>
    <w:p w14:paraId="5B23F12D">
      <w:pPr>
        <w:keepNext w:val="0"/>
        <w:keepLines w:val="0"/>
        <w:pageBreakBefore w:val="0"/>
        <w:widowControl w:val="0"/>
        <w:kinsoku/>
        <w:wordWrap/>
        <w:overflowPunct/>
        <w:topLinePunct w:val="0"/>
        <w:autoSpaceDE/>
        <w:autoSpaceDN/>
        <w:bidi w:val="0"/>
        <w:adjustRightInd/>
        <w:snapToGrid/>
        <w:spacing w:line="300" w:lineRule="auto"/>
        <w:ind w:left="0" w:leftChars="0" w:firstLine="400" w:firstLineChars="200"/>
        <w:textAlignment w:val="auto"/>
        <w:rPr>
          <w:rFonts w:hint="eastAsia" w:asciiTheme="minorEastAsia" w:hAnsiTheme="minorEastAsia" w:eastAsiaTheme="minorEastAsia" w:cstheme="minorEastAsia"/>
          <w:kern w:val="0"/>
          <w:sz w:val="20"/>
          <w:szCs w:val="20"/>
          <w:highlight w:val="none"/>
          <w:lang w:eastAsia="zh-CN"/>
        </w:rPr>
      </w:pPr>
      <w:r>
        <w:rPr>
          <w:rFonts w:hint="eastAsia" w:ascii="Times New Roman" w:hAnsi="Times New Roman" w:eastAsia="宋体" w:cstheme="majorEastAsia"/>
          <w:sz w:val="20"/>
          <w:szCs w:val="20"/>
          <w:highlight w:val="none"/>
        </w:rPr>
        <w:t>注：竞赛若以团队形式参加的，证书上的获奖名单按姓氏笔画，体现不出排名的，所有人员得分均按照证书中排名1分值*0.85计算。</w:t>
      </w:r>
    </w:p>
    <w:p w14:paraId="34A2CEAB">
      <w:pPr>
        <w:keepNext w:val="0"/>
        <w:keepLines w:val="0"/>
        <w:pageBreakBefore w:val="0"/>
        <w:widowControl w:val="0"/>
        <w:kinsoku/>
        <w:wordWrap/>
        <w:overflowPunct/>
        <w:topLinePunct w:val="0"/>
        <w:autoSpaceDE/>
        <w:autoSpaceDN/>
        <w:bidi w:val="0"/>
        <w:adjustRightInd/>
        <w:snapToGrid/>
        <w:spacing w:line="300" w:lineRule="auto"/>
        <w:ind w:left="0" w:leftChars="0" w:firstLine="400" w:firstLineChars="200"/>
        <w:textAlignment w:val="auto"/>
        <w:rPr>
          <w:rFonts w:hint="eastAsia" w:asciiTheme="minorEastAsia" w:hAnsiTheme="minorEastAsia" w:eastAsiaTheme="minorEastAsia" w:cstheme="minorEastAsia"/>
          <w:kern w:val="0"/>
          <w:sz w:val="20"/>
          <w:szCs w:val="20"/>
          <w:highlight w:val="none"/>
        </w:rPr>
      </w:pPr>
      <w:r>
        <w:rPr>
          <w:rFonts w:hint="eastAsia" w:asciiTheme="minorEastAsia" w:hAnsiTheme="minorEastAsia" w:cstheme="minorEastAsia"/>
          <w:sz w:val="20"/>
          <w:szCs w:val="20"/>
          <w:highlight w:val="none"/>
          <w:lang w:val="en-US" w:eastAsia="zh-CN"/>
        </w:rPr>
        <w:t>3</w:t>
      </w:r>
      <w:r>
        <w:rPr>
          <w:rFonts w:hint="eastAsia" w:asciiTheme="minorEastAsia" w:hAnsiTheme="minorEastAsia" w:eastAsiaTheme="minorEastAsia" w:cstheme="minorEastAsia"/>
          <w:sz w:val="20"/>
          <w:szCs w:val="20"/>
          <w:highlight w:val="none"/>
        </w:rPr>
        <w:t>.</w:t>
      </w:r>
      <w:r>
        <w:rPr>
          <w:rFonts w:hint="eastAsia" w:asciiTheme="minorEastAsia" w:hAnsiTheme="minorEastAsia" w:eastAsiaTheme="minorEastAsia" w:cstheme="minorEastAsia"/>
          <w:kern w:val="0"/>
          <w:sz w:val="20"/>
          <w:szCs w:val="20"/>
          <w:highlight w:val="none"/>
        </w:rPr>
        <w:t>导师评分</w:t>
      </w:r>
    </w:p>
    <w:p w14:paraId="5E2A1AFD">
      <w:pPr>
        <w:widowControl/>
        <w:spacing w:line="300" w:lineRule="auto"/>
        <w:ind w:firstLine="420"/>
        <w:jc w:val="left"/>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学生申请学业奖学金需获得导师同意，由导师对学生递交的科研成果材料进行初步核实；导师评分为等级制，由导师对学生在读研期间的总体表现进行评分。</w:t>
      </w:r>
    </w:p>
    <w:p w14:paraId="6A16AE1A">
      <w:pPr>
        <w:widowControl/>
        <w:spacing w:line="300" w:lineRule="auto"/>
        <w:ind w:firstLine="420"/>
        <w:jc w:val="left"/>
        <w:rPr>
          <w:rFonts w:hint="eastAsia" w:asciiTheme="minorEastAsia" w:hAnsiTheme="minorEastAsia" w:eastAsiaTheme="minorEastAsia" w:cstheme="minorEastAsia"/>
          <w:sz w:val="20"/>
          <w:szCs w:val="20"/>
          <w:highlight w:val="none"/>
        </w:rPr>
      </w:pPr>
    </w:p>
    <w:p w14:paraId="5E3D0F9C">
      <w:pPr>
        <w:keepNext w:val="0"/>
        <w:keepLines w:val="0"/>
        <w:pageBreakBefore w:val="0"/>
        <w:numPr>
          <w:ilvl w:val="0"/>
          <w:numId w:val="0"/>
        </w:numPr>
        <w:kinsoku/>
        <w:wordWrap/>
        <w:overflowPunct/>
        <w:topLinePunct w:val="0"/>
        <w:autoSpaceDE/>
        <w:autoSpaceDN/>
        <w:bidi w:val="0"/>
        <w:adjustRightInd/>
        <w:spacing w:line="300" w:lineRule="auto"/>
        <w:ind w:left="0" w:leftChars="0"/>
        <w:textAlignment w:val="auto"/>
        <w:rPr>
          <w:rFonts w:hint="eastAsia" w:asciiTheme="minorEastAsia" w:hAnsiTheme="minorEastAsia" w:eastAsiaTheme="minorEastAsia" w:cstheme="minorEastAsia"/>
          <w:b/>
          <w:bCs/>
          <w:kern w:val="0"/>
          <w:sz w:val="20"/>
          <w:szCs w:val="20"/>
          <w:highlight w:val="none"/>
        </w:rPr>
      </w:pPr>
      <w:r>
        <w:rPr>
          <w:rFonts w:hint="eastAsia" w:asciiTheme="minorEastAsia" w:hAnsiTheme="minorEastAsia" w:eastAsiaTheme="minorEastAsia" w:cstheme="minorEastAsia"/>
          <w:b/>
          <w:bCs/>
          <w:kern w:val="0"/>
          <w:sz w:val="18"/>
          <w:szCs w:val="18"/>
          <w:highlight w:val="none"/>
        </w:rPr>
        <w:t>（</w:t>
      </w:r>
      <w:r>
        <w:rPr>
          <w:rFonts w:hint="eastAsia" w:asciiTheme="minorEastAsia" w:hAnsiTheme="minorEastAsia" w:cstheme="minorEastAsia"/>
          <w:b/>
          <w:bCs/>
          <w:kern w:val="0"/>
          <w:sz w:val="18"/>
          <w:szCs w:val="18"/>
          <w:highlight w:val="none"/>
          <w:lang w:val="en-US" w:eastAsia="zh-CN"/>
        </w:rPr>
        <w:t>四</w:t>
      </w:r>
      <w:r>
        <w:rPr>
          <w:rFonts w:hint="eastAsia" w:asciiTheme="minorEastAsia" w:hAnsiTheme="minorEastAsia" w:eastAsiaTheme="minorEastAsia" w:cstheme="minorEastAsia"/>
          <w:b/>
          <w:bCs/>
          <w:kern w:val="0"/>
          <w:sz w:val="18"/>
          <w:szCs w:val="18"/>
          <w:highlight w:val="none"/>
        </w:rPr>
        <w:t>）</w:t>
      </w:r>
      <w:r>
        <w:rPr>
          <w:rFonts w:hint="eastAsia" w:asciiTheme="minorEastAsia" w:hAnsiTheme="minorEastAsia" w:eastAsiaTheme="minorEastAsia" w:cstheme="minorEastAsia"/>
          <w:b/>
          <w:bCs/>
          <w:kern w:val="0"/>
          <w:sz w:val="20"/>
          <w:szCs w:val="20"/>
          <w:highlight w:val="none"/>
        </w:rPr>
        <w:t>20</w:t>
      </w:r>
      <w:r>
        <w:rPr>
          <w:rFonts w:hint="eastAsia" w:asciiTheme="minorEastAsia" w:hAnsiTheme="minorEastAsia" w:eastAsiaTheme="minorEastAsia" w:cstheme="minorEastAsia"/>
          <w:b/>
          <w:bCs/>
          <w:kern w:val="0"/>
          <w:sz w:val="20"/>
          <w:szCs w:val="20"/>
          <w:highlight w:val="none"/>
          <w:lang w:val="en-US" w:eastAsia="zh-CN"/>
        </w:rPr>
        <w:t>2</w:t>
      </w:r>
      <w:r>
        <w:rPr>
          <w:rFonts w:hint="eastAsia" w:asciiTheme="minorEastAsia" w:hAnsiTheme="minorEastAsia" w:cstheme="minorEastAsia"/>
          <w:b/>
          <w:bCs/>
          <w:kern w:val="0"/>
          <w:sz w:val="20"/>
          <w:szCs w:val="20"/>
          <w:highlight w:val="none"/>
          <w:lang w:val="en-US" w:eastAsia="zh-CN"/>
        </w:rPr>
        <w:t>5</w:t>
      </w:r>
      <w:r>
        <w:rPr>
          <w:rFonts w:hint="eastAsia" w:asciiTheme="minorEastAsia" w:hAnsiTheme="minorEastAsia" w:eastAsiaTheme="minorEastAsia" w:cstheme="minorEastAsia"/>
          <w:b/>
          <w:bCs/>
          <w:kern w:val="0"/>
          <w:sz w:val="20"/>
          <w:szCs w:val="20"/>
          <w:highlight w:val="none"/>
        </w:rPr>
        <w:t>级硕士研究生学业综合奖学金</w:t>
      </w:r>
    </w:p>
    <w:p w14:paraId="626D6008">
      <w:pPr>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left"/>
        <w:textAlignment w:val="auto"/>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kern w:val="0"/>
          <w:sz w:val="20"/>
          <w:szCs w:val="20"/>
          <w:highlight w:val="none"/>
        </w:rPr>
        <w:t>1.学业综合奖学金评选采用各单项累计计分制，总成绩和各单项计分基本采用百分制，学习成绩、科研成果计分、导师评分权重分别为40%、40%和20%，最后按照总分数从高到低进行排序，如出现总成绩相等的情况，视情况通过答辩进行评选。</w:t>
      </w:r>
    </w:p>
    <w:p w14:paraId="1A7C86B3">
      <w:pPr>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left"/>
        <w:textAlignment w:val="auto"/>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kern w:val="0"/>
          <w:sz w:val="20"/>
          <w:szCs w:val="20"/>
          <w:highlight w:val="none"/>
        </w:rPr>
        <w:t>学业总成绩=学习成绩*40%+科研成果得分*40% +导师评分*20%</w:t>
      </w:r>
    </w:p>
    <w:p w14:paraId="4749AEE0">
      <w:pPr>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left"/>
        <w:textAlignment w:val="auto"/>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kern w:val="0"/>
          <w:sz w:val="20"/>
          <w:szCs w:val="20"/>
          <w:highlight w:val="none"/>
        </w:rPr>
        <w:t>2.学习成绩评分标准</w:t>
      </w:r>
    </w:p>
    <w:p w14:paraId="4FAE68B2">
      <w:pPr>
        <w:keepNext w:val="0"/>
        <w:keepLines w:val="0"/>
        <w:pageBreakBefore w:val="0"/>
        <w:widowControl/>
        <w:shd w:val="clear" w:color="auto" w:fill="FFFFFF"/>
        <w:kinsoku/>
        <w:wordWrap/>
        <w:overflowPunct/>
        <w:topLinePunct w:val="0"/>
        <w:autoSpaceDE/>
        <w:autoSpaceDN/>
        <w:bidi w:val="0"/>
        <w:adjustRightInd/>
        <w:snapToGrid/>
        <w:spacing w:line="300" w:lineRule="auto"/>
        <w:ind w:left="0" w:leftChars="0" w:firstLine="400" w:firstLineChars="200"/>
        <w:jc w:val="left"/>
        <w:textAlignment w:val="auto"/>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kern w:val="0"/>
          <w:sz w:val="20"/>
          <w:szCs w:val="20"/>
          <w:highlight w:val="none"/>
        </w:rPr>
        <w:t>学习成绩由学院研究生教学秘书提供，指学生参加所修专业培养计划规定课程并考核的成绩。学习成绩依据</w:t>
      </w:r>
      <w:r>
        <w:rPr>
          <w:rFonts w:hint="eastAsia" w:asciiTheme="minorEastAsia" w:hAnsiTheme="minorEastAsia" w:cstheme="minorEastAsia"/>
          <w:kern w:val="0"/>
          <w:sz w:val="20"/>
          <w:szCs w:val="20"/>
          <w:highlight w:val="none"/>
          <w:lang w:val="en-US" w:eastAsia="zh-CN"/>
        </w:rPr>
        <w:t>为</w:t>
      </w:r>
      <w:r>
        <w:rPr>
          <w:rFonts w:hint="eastAsia" w:asciiTheme="minorEastAsia" w:hAnsiTheme="minorEastAsia" w:eastAsiaTheme="minorEastAsia" w:cstheme="minorEastAsia"/>
          <w:kern w:val="0"/>
          <w:sz w:val="20"/>
          <w:szCs w:val="20"/>
          <w:highlight w:val="none"/>
        </w:rPr>
        <w:t>上一学年的成绩。</w:t>
      </w:r>
    </w:p>
    <w:p w14:paraId="2D9FBD1B">
      <w:pPr>
        <w:keepNext w:val="0"/>
        <w:keepLines w:val="0"/>
        <w:pageBreakBefore w:val="0"/>
        <w:widowControl/>
        <w:shd w:val="clear" w:color="auto" w:fill="FFFFFF"/>
        <w:kinsoku/>
        <w:wordWrap/>
        <w:overflowPunct/>
        <w:topLinePunct w:val="0"/>
        <w:autoSpaceDE/>
        <w:autoSpaceDN/>
        <w:bidi w:val="0"/>
        <w:adjustRightInd/>
        <w:snapToGrid/>
        <w:spacing w:line="300" w:lineRule="auto"/>
        <w:ind w:left="0" w:leftChars="0" w:firstLine="300" w:firstLineChars="150"/>
        <w:jc w:val="left"/>
        <w:textAlignment w:val="auto"/>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kern w:val="0"/>
          <w:sz w:val="20"/>
          <w:szCs w:val="20"/>
          <w:highlight w:val="none"/>
        </w:rPr>
        <w:t>3.科研成果加分细则</w:t>
      </w:r>
    </w:p>
    <w:p w14:paraId="44FDADB6">
      <w:pPr>
        <w:keepNext w:val="0"/>
        <w:keepLines w:val="0"/>
        <w:pageBreakBefore w:val="0"/>
        <w:widowControl/>
        <w:shd w:val="clear" w:color="auto" w:fill="FFFFFF"/>
        <w:kinsoku/>
        <w:wordWrap/>
        <w:overflowPunct/>
        <w:topLinePunct w:val="0"/>
        <w:autoSpaceDE/>
        <w:autoSpaceDN/>
        <w:bidi w:val="0"/>
        <w:adjustRightInd/>
        <w:snapToGrid/>
        <w:spacing w:line="300" w:lineRule="auto"/>
        <w:ind w:left="0" w:leftChars="0" w:firstLine="400" w:firstLineChars="200"/>
        <w:jc w:val="left"/>
        <w:textAlignment w:val="auto"/>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kern w:val="0"/>
          <w:sz w:val="20"/>
          <w:szCs w:val="20"/>
          <w:highlight w:val="none"/>
        </w:rPr>
        <w:t>科研成果由学生本人自评，导师初评。</w:t>
      </w:r>
    </w:p>
    <w:p w14:paraId="14C99190">
      <w:pPr>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left"/>
        <w:textAlignment w:val="auto"/>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kern w:val="0"/>
          <w:sz w:val="20"/>
          <w:szCs w:val="20"/>
          <w:highlight w:val="none"/>
        </w:rPr>
        <w:t>科研成果得分=</w:t>
      </w:r>
      <w:r>
        <w:rPr>
          <w:rFonts w:hint="eastAsia" w:asciiTheme="minorEastAsia" w:hAnsiTheme="minorEastAsia" w:cstheme="minorEastAsia"/>
          <w:kern w:val="0"/>
          <w:sz w:val="20"/>
          <w:szCs w:val="20"/>
          <w:highlight w:val="none"/>
          <w:lang w:val="en-US" w:eastAsia="zh-CN"/>
        </w:rPr>
        <w:t>产教融合联合培养计分+</w:t>
      </w:r>
      <w:r>
        <w:rPr>
          <w:rFonts w:hint="eastAsia" w:asciiTheme="minorEastAsia" w:hAnsiTheme="minorEastAsia" w:eastAsiaTheme="minorEastAsia" w:cstheme="minorEastAsia"/>
          <w:kern w:val="0"/>
          <w:sz w:val="20"/>
          <w:szCs w:val="20"/>
          <w:highlight w:val="none"/>
        </w:rPr>
        <w:t>知识产权计分+</w:t>
      </w:r>
      <w:r>
        <w:rPr>
          <w:rFonts w:hint="eastAsia" w:asciiTheme="minorEastAsia" w:hAnsiTheme="minorEastAsia" w:eastAsiaTheme="minorEastAsia" w:cstheme="minorEastAsia"/>
          <w:kern w:val="0"/>
          <w:sz w:val="20"/>
          <w:szCs w:val="20"/>
          <w:highlight w:val="none"/>
          <w:lang w:val="en-US" w:eastAsia="zh-CN"/>
        </w:rPr>
        <w:t>著作</w:t>
      </w:r>
      <w:r>
        <w:rPr>
          <w:rFonts w:hint="eastAsia" w:asciiTheme="minorEastAsia" w:hAnsiTheme="minorEastAsia" w:eastAsiaTheme="minorEastAsia" w:cstheme="minorEastAsia"/>
          <w:kern w:val="0"/>
          <w:sz w:val="20"/>
          <w:szCs w:val="20"/>
          <w:highlight w:val="none"/>
        </w:rPr>
        <w:t>计分+竞赛</w:t>
      </w:r>
      <w:r>
        <w:rPr>
          <w:rFonts w:hint="eastAsia" w:asciiTheme="minorEastAsia" w:hAnsiTheme="minorEastAsia" w:eastAsiaTheme="minorEastAsia" w:cstheme="minorEastAsia"/>
          <w:kern w:val="0"/>
          <w:sz w:val="20"/>
          <w:szCs w:val="20"/>
          <w:highlight w:val="none"/>
          <w:lang w:val="en-US" w:eastAsia="zh-CN"/>
        </w:rPr>
        <w:t>获奖</w:t>
      </w:r>
      <w:r>
        <w:rPr>
          <w:rFonts w:hint="eastAsia" w:asciiTheme="minorEastAsia" w:hAnsiTheme="minorEastAsia" w:eastAsiaTheme="minorEastAsia" w:cstheme="minorEastAsia"/>
          <w:kern w:val="0"/>
          <w:sz w:val="20"/>
          <w:szCs w:val="20"/>
          <w:highlight w:val="none"/>
        </w:rPr>
        <w:t>计分+境外研学计分</w:t>
      </w:r>
      <w:r>
        <w:rPr>
          <w:rFonts w:hint="eastAsia" w:asciiTheme="minorEastAsia" w:hAnsiTheme="minorEastAsia" w:eastAsiaTheme="minorEastAsia" w:cstheme="minorEastAsia"/>
          <w:kern w:val="0"/>
          <w:sz w:val="20"/>
          <w:szCs w:val="20"/>
          <w:highlight w:val="none"/>
          <w:lang w:val="en-US" w:eastAsia="zh-CN"/>
        </w:rPr>
        <w:t>+学术会议报告计分+学术论文计分+</w:t>
      </w:r>
      <w:r>
        <w:rPr>
          <w:rFonts w:hint="eastAsia" w:asciiTheme="minorEastAsia" w:hAnsiTheme="minorEastAsia" w:eastAsiaTheme="minorEastAsia" w:cstheme="minorEastAsia"/>
          <w:kern w:val="0"/>
          <w:sz w:val="20"/>
          <w:szCs w:val="20"/>
          <w:highlight w:val="none"/>
        </w:rPr>
        <w:t>其他成果计分</w:t>
      </w:r>
    </w:p>
    <w:p w14:paraId="706EB220">
      <w:pPr>
        <w:keepNext w:val="0"/>
        <w:keepLines w:val="0"/>
        <w:pageBreakBefore w:val="0"/>
        <w:kinsoku/>
        <w:wordWrap/>
        <w:overflowPunct/>
        <w:topLinePunct w:val="0"/>
        <w:autoSpaceDE/>
        <w:autoSpaceDN/>
        <w:bidi w:val="0"/>
        <w:adjustRightInd/>
        <w:snapToGrid/>
        <w:spacing w:line="300" w:lineRule="auto"/>
        <w:ind w:left="0" w:leftChars="0" w:firstLine="400" w:firstLineChars="200"/>
        <w:textAlignment w:val="auto"/>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kern w:val="0"/>
          <w:sz w:val="20"/>
          <w:szCs w:val="20"/>
          <w:highlight w:val="none"/>
        </w:rPr>
        <w:t>科研成果为百分制，根据科研成果累计总分进行排名，累计总分排名第一的同学，科研成果计分为100分，后序排名计分办法如下：若科研成果累计总分排名第一的累计总分为A，科研成果累计总分排名第二的累计总分为B,则排名第二的同学科研成果计分公式如下：（100/A）*B,之后排名的科研成果计分亦采取此公式进行计算。</w:t>
      </w:r>
    </w:p>
    <w:p w14:paraId="416D5E42">
      <w:pPr>
        <w:keepNext w:val="0"/>
        <w:keepLines w:val="0"/>
        <w:pageBreakBefore w:val="0"/>
        <w:kinsoku/>
        <w:wordWrap/>
        <w:overflowPunct/>
        <w:topLinePunct w:val="0"/>
        <w:autoSpaceDE/>
        <w:autoSpaceDN/>
        <w:bidi w:val="0"/>
        <w:adjustRightInd/>
        <w:snapToGrid/>
        <w:spacing w:line="300" w:lineRule="auto"/>
        <w:ind w:left="0" w:leftChars="0" w:firstLine="400" w:firstLineChars="200"/>
        <w:textAlignment w:val="auto"/>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kern w:val="0"/>
          <w:sz w:val="20"/>
          <w:szCs w:val="20"/>
          <w:highlight w:val="none"/>
        </w:rPr>
        <w:t>若一项成果符合多项计分标准，取最大分值计分。列入统计范围的成果必须满足以下条件：</w:t>
      </w:r>
    </w:p>
    <w:p w14:paraId="089F5AF0">
      <w:pPr>
        <w:keepNext w:val="0"/>
        <w:keepLines w:val="0"/>
        <w:pageBreakBefore w:val="0"/>
        <w:widowControl w:val="0"/>
        <w:kinsoku/>
        <w:wordWrap/>
        <w:overflowPunct/>
        <w:topLinePunct w:val="0"/>
        <w:autoSpaceDE/>
        <w:autoSpaceDN/>
        <w:bidi w:val="0"/>
        <w:adjustRightInd/>
        <w:snapToGrid/>
        <w:spacing w:line="300" w:lineRule="auto"/>
        <w:ind w:left="0" w:leftChars="0" w:firstLine="400" w:firstLineChars="200"/>
        <w:textAlignment w:val="auto"/>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kern w:val="0"/>
          <w:sz w:val="20"/>
          <w:szCs w:val="20"/>
          <w:highlight w:val="none"/>
        </w:rPr>
        <w:t>1）以“上海海事大学”为第一署名单位且研究生为第一作者，或者研究生为第二作者，且导师（含第二导师）是第一作者；</w:t>
      </w:r>
    </w:p>
    <w:p w14:paraId="610FC382">
      <w:pPr>
        <w:keepNext w:val="0"/>
        <w:keepLines w:val="0"/>
        <w:pageBreakBefore w:val="0"/>
        <w:widowControl w:val="0"/>
        <w:kinsoku/>
        <w:wordWrap/>
        <w:overflowPunct/>
        <w:topLinePunct w:val="0"/>
        <w:autoSpaceDE/>
        <w:autoSpaceDN/>
        <w:bidi w:val="0"/>
        <w:adjustRightInd/>
        <w:snapToGrid/>
        <w:spacing w:line="300" w:lineRule="auto"/>
        <w:ind w:left="0" w:leftChars="0" w:firstLine="400" w:firstLineChars="200"/>
        <w:textAlignment w:val="auto"/>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kern w:val="0"/>
          <w:sz w:val="20"/>
          <w:szCs w:val="20"/>
          <w:highlight w:val="none"/>
        </w:rPr>
        <w:t>2）所有成果须是20</w:t>
      </w:r>
      <w:r>
        <w:rPr>
          <w:rFonts w:hint="eastAsia" w:asciiTheme="minorEastAsia" w:hAnsiTheme="minorEastAsia" w:eastAsiaTheme="minorEastAsia" w:cstheme="minorEastAsia"/>
          <w:kern w:val="0"/>
          <w:sz w:val="20"/>
          <w:szCs w:val="20"/>
          <w:highlight w:val="none"/>
          <w:lang w:val="en-US" w:eastAsia="zh-CN"/>
        </w:rPr>
        <w:t>2</w:t>
      </w:r>
      <w:r>
        <w:rPr>
          <w:rFonts w:hint="eastAsia" w:asciiTheme="minorEastAsia" w:hAnsiTheme="minorEastAsia" w:cstheme="minorEastAsia"/>
          <w:kern w:val="0"/>
          <w:sz w:val="20"/>
          <w:szCs w:val="20"/>
          <w:highlight w:val="none"/>
          <w:lang w:val="en-US" w:eastAsia="zh-CN"/>
        </w:rPr>
        <w:t>5</w:t>
      </w:r>
      <w:r>
        <w:rPr>
          <w:rFonts w:hint="eastAsia" w:asciiTheme="minorEastAsia" w:hAnsiTheme="minorEastAsia" w:eastAsiaTheme="minorEastAsia" w:cstheme="minorEastAsia"/>
          <w:kern w:val="0"/>
          <w:sz w:val="20"/>
          <w:szCs w:val="20"/>
          <w:highlight w:val="none"/>
        </w:rPr>
        <w:t>年申请研究生</w:t>
      </w:r>
      <w:r>
        <w:rPr>
          <w:rFonts w:hint="eastAsia" w:asciiTheme="minorEastAsia" w:hAnsiTheme="minorEastAsia" w:cstheme="minorEastAsia"/>
          <w:kern w:val="0"/>
          <w:sz w:val="20"/>
          <w:szCs w:val="20"/>
          <w:highlight w:val="none"/>
          <w:lang w:val="en-US" w:eastAsia="zh-CN"/>
        </w:rPr>
        <w:t>学业</w:t>
      </w:r>
      <w:r>
        <w:rPr>
          <w:rFonts w:hint="eastAsia" w:asciiTheme="minorEastAsia" w:hAnsiTheme="minorEastAsia" w:eastAsiaTheme="minorEastAsia" w:cstheme="minorEastAsia"/>
          <w:kern w:val="0"/>
          <w:sz w:val="20"/>
          <w:szCs w:val="20"/>
          <w:highlight w:val="none"/>
        </w:rPr>
        <w:t>奖学金之日到今年研究生学业奖学金申请之日（凡是去年提交过的科研成果材料，均不能重复使用）；</w:t>
      </w:r>
    </w:p>
    <w:p w14:paraId="300D20B1">
      <w:pPr>
        <w:keepNext w:val="0"/>
        <w:keepLines w:val="0"/>
        <w:pageBreakBefore w:val="0"/>
        <w:widowControl w:val="0"/>
        <w:kinsoku/>
        <w:wordWrap/>
        <w:overflowPunct/>
        <w:topLinePunct w:val="0"/>
        <w:autoSpaceDE/>
        <w:autoSpaceDN/>
        <w:bidi w:val="0"/>
        <w:adjustRightInd/>
        <w:snapToGrid/>
        <w:spacing w:line="300" w:lineRule="auto"/>
        <w:ind w:left="0" w:leftChars="0" w:firstLine="400" w:firstLineChars="200"/>
        <w:textAlignment w:val="auto"/>
        <w:rPr>
          <w:rFonts w:hint="eastAsia" w:asciiTheme="minorEastAsia" w:hAnsiTheme="minorEastAsia" w:eastAsiaTheme="minorEastAsia" w:cstheme="minorEastAsia"/>
          <w:b/>
          <w:sz w:val="20"/>
          <w:szCs w:val="20"/>
          <w:highlight w:val="none"/>
        </w:rPr>
      </w:pPr>
      <w:r>
        <w:rPr>
          <w:rFonts w:hint="eastAsia" w:asciiTheme="minorEastAsia" w:hAnsiTheme="minorEastAsia" w:eastAsiaTheme="minorEastAsia" w:cstheme="minorEastAsia"/>
          <w:kern w:val="0"/>
          <w:sz w:val="20"/>
          <w:szCs w:val="20"/>
          <w:highlight w:val="none"/>
        </w:rPr>
        <w:t>3）研究生取得的学术成果应与学位论文主要内容有相关性。</w:t>
      </w:r>
    </w:p>
    <w:p w14:paraId="166B5B5C">
      <w:pPr>
        <w:keepNext w:val="0"/>
        <w:keepLines w:val="0"/>
        <w:pageBreakBefore w:val="0"/>
        <w:widowControl w:val="0"/>
        <w:kinsoku/>
        <w:wordWrap/>
        <w:overflowPunct/>
        <w:topLinePunct w:val="0"/>
        <w:autoSpaceDE/>
        <w:autoSpaceDN/>
        <w:bidi w:val="0"/>
        <w:adjustRightInd/>
        <w:snapToGrid/>
        <w:spacing w:line="300" w:lineRule="auto"/>
        <w:ind w:left="0" w:leftChars="0" w:firstLine="402" w:firstLineChars="200"/>
        <w:textAlignment w:val="auto"/>
        <w:rPr>
          <w:rFonts w:hint="eastAsia" w:asciiTheme="minorEastAsia" w:hAnsiTheme="minorEastAsia" w:eastAsiaTheme="minorEastAsia" w:cstheme="minorEastAsia"/>
          <w:b/>
          <w:bCs/>
          <w:kern w:val="0"/>
          <w:sz w:val="20"/>
          <w:szCs w:val="20"/>
          <w:highlight w:val="none"/>
        </w:rPr>
      </w:pPr>
      <w:r>
        <w:rPr>
          <w:rFonts w:hint="eastAsia" w:asciiTheme="minorEastAsia" w:hAnsiTheme="minorEastAsia" w:eastAsiaTheme="minorEastAsia" w:cstheme="minorEastAsia"/>
          <w:b/>
          <w:bCs/>
          <w:kern w:val="0"/>
          <w:sz w:val="20"/>
          <w:szCs w:val="20"/>
          <w:highlight w:val="none"/>
        </w:rPr>
        <w:t>（</w:t>
      </w:r>
      <w:r>
        <w:rPr>
          <w:rFonts w:hint="eastAsia" w:asciiTheme="minorEastAsia" w:hAnsiTheme="minorEastAsia" w:eastAsiaTheme="minorEastAsia" w:cstheme="minorEastAsia"/>
          <w:b/>
          <w:bCs/>
          <w:kern w:val="0"/>
          <w:sz w:val="20"/>
          <w:szCs w:val="20"/>
          <w:highlight w:val="none"/>
          <w:lang w:val="en-US" w:eastAsia="zh-CN"/>
        </w:rPr>
        <w:t>1</w:t>
      </w:r>
      <w:r>
        <w:rPr>
          <w:rFonts w:hint="eastAsia" w:asciiTheme="minorEastAsia" w:hAnsiTheme="minorEastAsia" w:eastAsiaTheme="minorEastAsia" w:cstheme="minorEastAsia"/>
          <w:b/>
          <w:bCs/>
          <w:kern w:val="0"/>
          <w:sz w:val="20"/>
          <w:szCs w:val="20"/>
          <w:highlight w:val="none"/>
        </w:rPr>
        <w:t>）产教融合联合培养（单位：分/项）</w:t>
      </w:r>
    </w:p>
    <w:tbl>
      <w:tblPr>
        <w:tblStyle w:val="6"/>
        <w:tblW w:w="0" w:type="auto"/>
        <w:jc w:val="center"/>
        <w:shd w:val="clear" w:color="auto" w:fill="FFFFFF"/>
        <w:tblLayout w:type="autofit"/>
        <w:tblCellMar>
          <w:top w:w="15" w:type="dxa"/>
          <w:left w:w="15" w:type="dxa"/>
          <w:bottom w:w="15" w:type="dxa"/>
          <w:right w:w="15" w:type="dxa"/>
        </w:tblCellMar>
      </w:tblPr>
      <w:tblGrid>
        <w:gridCol w:w="1752"/>
        <w:gridCol w:w="3402"/>
        <w:gridCol w:w="1551"/>
      </w:tblGrid>
      <w:tr w14:paraId="5A077B45">
        <w:tblPrEx>
          <w:shd w:val="clear" w:color="auto" w:fill="FFFFFF"/>
          <w:tblCellMar>
            <w:top w:w="15" w:type="dxa"/>
            <w:left w:w="15" w:type="dxa"/>
            <w:bottom w:w="15" w:type="dxa"/>
            <w:right w:w="15" w:type="dxa"/>
          </w:tblCellMar>
        </w:tblPrEx>
        <w:trPr>
          <w:trHeight w:val="330" w:hRule="atLeast"/>
          <w:jc w:val="center"/>
        </w:trPr>
        <w:tc>
          <w:tcPr>
            <w:tcW w:w="1752" w:type="dxa"/>
            <w:tcBorders>
              <w:top w:val="single" w:color="000000" w:sz="6" w:space="0"/>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14:paraId="62AB9A20">
            <w:pPr>
              <w:keepNext w:val="0"/>
              <w:keepLines w:val="0"/>
              <w:pageBreakBefore w:val="0"/>
              <w:widowControl w:val="0"/>
              <w:kinsoku/>
              <w:wordWrap/>
              <w:overflowPunct/>
              <w:topLinePunct w:val="0"/>
              <w:autoSpaceDE/>
              <w:autoSpaceDN/>
              <w:bidi w:val="0"/>
              <w:adjustRightInd/>
              <w:snapToGrid/>
              <w:spacing w:line="300" w:lineRule="auto"/>
              <w:ind w:left="0" w:leftChars="0" w:firstLine="400" w:firstLineChars="200"/>
              <w:textAlignment w:val="auto"/>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kern w:val="0"/>
                <w:sz w:val="20"/>
                <w:szCs w:val="20"/>
                <w:highlight w:val="none"/>
              </w:rPr>
              <w:t>成果种类</w:t>
            </w:r>
          </w:p>
        </w:tc>
        <w:tc>
          <w:tcPr>
            <w:tcW w:w="3402" w:type="dxa"/>
            <w:tcBorders>
              <w:top w:val="single" w:color="000000" w:sz="6" w:space="0"/>
              <w:left w:val="nil"/>
              <w:bottom w:val="single" w:color="000000" w:sz="6" w:space="0"/>
              <w:right w:val="single" w:color="000000" w:sz="6" w:space="0"/>
            </w:tcBorders>
            <w:shd w:val="clear" w:color="auto" w:fill="FFFFFF"/>
            <w:tcMar>
              <w:top w:w="0" w:type="dxa"/>
              <w:left w:w="105" w:type="dxa"/>
              <w:bottom w:w="0" w:type="dxa"/>
              <w:right w:w="105" w:type="dxa"/>
            </w:tcMar>
            <w:vAlign w:val="center"/>
          </w:tcPr>
          <w:p w14:paraId="0640D9B4">
            <w:pPr>
              <w:keepNext w:val="0"/>
              <w:keepLines w:val="0"/>
              <w:pageBreakBefore w:val="0"/>
              <w:widowControl w:val="0"/>
              <w:kinsoku/>
              <w:wordWrap/>
              <w:overflowPunct/>
              <w:topLinePunct w:val="0"/>
              <w:autoSpaceDE/>
              <w:autoSpaceDN/>
              <w:bidi w:val="0"/>
              <w:adjustRightInd/>
              <w:snapToGrid/>
              <w:spacing w:line="300" w:lineRule="auto"/>
              <w:ind w:left="0" w:leftChars="0" w:firstLine="400" w:firstLineChars="200"/>
              <w:textAlignment w:val="auto"/>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kern w:val="0"/>
                <w:sz w:val="20"/>
                <w:szCs w:val="20"/>
                <w:highlight w:val="none"/>
              </w:rPr>
              <w:t>产教融合联合培养考核结果</w:t>
            </w:r>
          </w:p>
        </w:tc>
        <w:tc>
          <w:tcPr>
            <w:tcW w:w="1551" w:type="dxa"/>
            <w:tcBorders>
              <w:top w:val="single" w:color="000000" w:sz="6" w:space="0"/>
              <w:left w:val="nil"/>
              <w:bottom w:val="single" w:color="000000" w:sz="6" w:space="0"/>
              <w:right w:val="single" w:color="000000" w:sz="6" w:space="0"/>
            </w:tcBorders>
            <w:shd w:val="clear" w:color="auto" w:fill="FFFFFF"/>
            <w:tcMar>
              <w:top w:w="0" w:type="dxa"/>
              <w:left w:w="105" w:type="dxa"/>
              <w:bottom w:w="0" w:type="dxa"/>
              <w:right w:w="105" w:type="dxa"/>
            </w:tcMar>
            <w:vAlign w:val="center"/>
          </w:tcPr>
          <w:p w14:paraId="411A21D6">
            <w:pPr>
              <w:keepNext w:val="0"/>
              <w:keepLines w:val="0"/>
              <w:pageBreakBefore w:val="0"/>
              <w:widowControl w:val="0"/>
              <w:kinsoku/>
              <w:wordWrap/>
              <w:overflowPunct/>
              <w:topLinePunct w:val="0"/>
              <w:autoSpaceDE/>
              <w:autoSpaceDN/>
              <w:bidi w:val="0"/>
              <w:adjustRightInd/>
              <w:snapToGrid/>
              <w:spacing w:line="300" w:lineRule="auto"/>
              <w:ind w:left="0" w:leftChars="0" w:firstLine="400" w:firstLineChars="200"/>
              <w:textAlignment w:val="auto"/>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kern w:val="0"/>
                <w:sz w:val="20"/>
                <w:szCs w:val="20"/>
                <w:highlight w:val="none"/>
              </w:rPr>
              <w:t>标准分</w:t>
            </w:r>
          </w:p>
        </w:tc>
      </w:tr>
      <w:tr w14:paraId="7F3B0304">
        <w:tblPrEx>
          <w:shd w:val="clear" w:color="auto" w:fill="FFFFFF"/>
          <w:tblCellMar>
            <w:top w:w="15" w:type="dxa"/>
            <w:left w:w="15" w:type="dxa"/>
            <w:bottom w:w="15" w:type="dxa"/>
            <w:right w:w="15" w:type="dxa"/>
          </w:tblCellMar>
        </w:tblPrEx>
        <w:trPr>
          <w:trHeight w:val="316" w:hRule="atLeast"/>
          <w:jc w:val="center"/>
        </w:trPr>
        <w:tc>
          <w:tcPr>
            <w:tcW w:w="1752" w:type="dxa"/>
            <w:vMerge w:val="restart"/>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14:paraId="0C9FE2A1">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kern w:val="0"/>
                <w:sz w:val="20"/>
                <w:szCs w:val="20"/>
                <w:highlight w:val="none"/>
              </w:rPr>
              <w:t>产教融合研究生联合培养</w:t>
            </w:r>
          </w:p>
        </w:tc>
        <w:tc>
          <w:tcPr>
            <w:tcW w:w="3402"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14:paraId="5A3C4E9C">
            <w:pPr>
              <w:keepNext w:val="0"/>
              <w:keepLines w:val="0"/>
              <w:pageBreakBefore w:val="0"/>
              <w:widowControl w:val="0"/>
              <w:kinsoku/>
              <w:wordWrap/>
              <w:overflowPunct/>
              <w:topLinePunct w:val="0"/>
              <w:autoSpaceDE/>
              <w:autoSpaceDN/>
              <w:bidi w:val="0"/>
              <w:adjustRightInd/>
              <w:snapToGrid/>
              <w:spacing w:line="300" w:lineRule="auto"/>
              <w:ind w:left="0" w:leftChars="0" w:firstLine="400" w:firstLineChars="200"/>
              <w:textAlignment w:val="auto"/>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kern w:val="0"/>
                <w:sz w:val="20"/>
                <w:szCs w:val="20"/>
                <w:highlight w:val="none"/>
              </w:rPr>
              <w:t>优秀</w:t>
            </w:r>
          </w:p>
        </w:tc>
        <w:tc>
          <w:tcPr>
            <w:tcW w:w="1551"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14:paraId="624CF3B7">
            <w:pPr>
              <w:keepNext w:val="0"/>
              <w:keepLines w:val="0"/>
              <w:pageBreakBefore w:val="0"/>
              <w:widowControl w:val="0"/>
              <w:kinsoku/>
              <w:wordWrap/>
              <w:overflowPunct/>
              <w:topLinePunct w:val="0"/>
              <w:autoSpaceDE/>
              <w:autoSpaceDN/>
              <w:bidi w:val="0"/>
              <w:adjustRightInd/>
              <w:snapToGrid/>
              <w:spacing w:line="300" w:lineRule="auto"/>
              <w:ind w:left="0" w:leftChars="0" w:firstLine="400" w:firstLineChars="200"/>
              <w:textAlignment w:val="auto"/>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kern w:val="0"/>
                <w:sz w:val="20"/>
                <w:szCs w:val="20"/>
                <w:highlight w:val="none"/>
              </w:rPr>
              <w:t>6</w:t>
            </w:r>
          </w:p>
        </w:tc>
      </w:tr>
      <w:tr w14:paraId="297301EE">
        <w:tblPrEx>
          <w:shd w:val="clear" w:color="auto" w:fill="FFFFFF"/>
          <w:tblCellMar>
            <w:top w:w="15" w:type="dxa"/>
            <w:left w:w="15" w:type="dxa"/>
            <w:bottom w:w="15" w:type="dxa"/>
            <w:right w:w="15" w:type="dxa"/>
          </w:tblCellMar>
        </w:tblPrEx>
        <w:trPr>
          <w:trHeight w:val="286" w:hRule="atLeast"/>
          <w:jc w:val="center"/>
        </w:trPr>
        <w:tc>
          <w:tcPr>
            <w:tcW w:w="1752" w:type="dxa"/>
            <w:vMerge w:val="continue"/>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14:paraId="6C25197D">
            <w:pPr>
              <w:keepNext w:val="0"/>
              <w:keepLines w:val="0"/>
              <w:pageBreakBefore w:val="0"/>
              <w:widowControl w:val="0"/>
              <w:kinsoku/>
              <w:wordWrap/>
              <w:overflowPunct/>
              <w:topLinePunct w:val="0"/>
              <w:autoSpaceDE/>
              <w:autoSpaceDN/>
              <w:bidi w:val="0"/>
              <w:adjustRightInd/>
              <w:snapToGrid/>
              <w:spacing w:line="300" w:lineRule="auto"/>
              <w:ind w:left="0" w:leftChars="0" w:firstLine="400" w:firstLineChars="200"/>
              <w:textAlignment w:val="auto"/>
              <w:rPr>
                <w:rFonts w:hint="eastAsia" w:asciiTheme="minorEastAsia" w:hAnsiTheme="minorEastAsia" w:eastAsiaTheme="minorEastAsia" w:cstheme="minorEastAsia"/>
                <w:kern w:val="0"/>
                <w:sz w:val="20"/>
                <w:szCs w:val="20"/>
                <w:highlight w:val="none"/>
              </w:rPr>
            </w:pPr>
          </w:p>
        </w:tc>
        <w:tc>
          <w:tcPr>
            <w:tcW w:w="3402"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14:paraId="062A0D66">
            <w:pPr>
              <w:keepNext w:val="0"/>
              <w:keepLines w:val="0"/>
              <w:pageBreakBefore w:val="0"/>
              <w:widowControl w:val="0"/>
              <w:kinsoku/>
              <w:wordWrap/>
              <w:overflowPunct/>
              <w:topLinePunct w:val="0"/>
              <w:autoSpaceDE/>
              <w:autoSpaceDN/>
              <w:bidi w:val="0"/>
              <w:adjustRightInd/>
              <w:snapToGrid/>
              <w:spacing w:line="300" w:lineRule="auto"/>
              <w:ind w:left="0" w:leftChars="0" w:firstLine="400" w:firstLineChars="200"/>
              <w:textAlignment w:val="auto"/>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kern w:val="0"/>
                <w:sz w:val="20"/>
                <w:szCs w:val="20"/>
                <w:highlight w:val="none"/>
              </w:rPr>
              <w:t>良好</w:t>
            </w:r>
          </w:p>
        </w:tc>
        <w:tc>
          <w:tcPr>
            <w:tcW w:w="1551"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14:paraId="1B09FB29">
            <w:pPr>
              <w:keepNext w:val="0"/>
              <w:keepLines w:val="0"/>
              <w:pageBreakBefore w:val="0"/>
              <w:widowControl w:val="0"/>
              <w:kinsoku/>
              <w:wordWrap/>
              <w:overflowPunct/>
              <w:topLinePunct w:val="0"/>
              <w:autoSpaceDE/>
              <w:autoSpaceDN/>
              <w:bidi w:val="0"/>
              <w:adjustRightInd/>
              <w:snapToGrid/>
              <w:spacing w:line="300" w:lineRule="auto"/>
              <w:ind w:left="0" w:leftChars="0" w:firstLine="400" w:firstLineChars="200"/>
              <w:textAlignment w:val="auto"/>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kern w:val="0"/>
                <w:sz w:val="20"/>
                <w:szCs w:val="20"/>
                <w:highlight w:val="none"/>
              </w:rPr>
              <w:t>4</w:t>
            </w:r>
          </w:p>
        </w:tc>
      </w:tr>
      <w:tr w14:paraId="63ECF28D">
        <w:tblPrEx>
          <w:shd w:val="clear" w:color="auto" w:fill="FFFFFF"/>
          <w:tblCellMar>
            <w:top w:w="15" w:type="dxa"/>
            <w:left w:w="15" w:type="dxa"/>
            <w:bottom w:w="15" w:type="dxa"/>
            <w:right w:w="15" w:type="dxa"/>
          </w:tblCellMar>
        </w:tblPrEx>
        <w:trPr>
          <w:trHeight w:val="301" w:hRule="atLeast"/>
          <w:jc w:val="center"/>
        </w:trPr>
        <w:tc>
          <w:tcPr>
            <w:tcW w:w="1752" w:type="dxa"/>
            <w:vMerge w:val="continue"/>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14:paraId="65EF85E5">
            <w:pPr>
              <w:keepNext w:val="0"/>
              <w:keepLines w:val="0"/>
              <w:pageBreakBefore w:val="0"/>
              <w:widowControl w:val="0"/>
              <w:kinsoku/>
              <w:wordWrap/>
              <w:overflowPunct/>
              <w:topLinePunct w:val="0"/>
              <w:autoSpaceDE/>
              <w:autoSpaceDN/>
              <w:bidi w:val="0"/>
              <w:adjustRightInd/>
              <w:snapToGrid/>
              <w:spacing w:line="300" w:lineRule="auto"/>
              <w:ind w:left="0" w:leftChars="0" w:firstLine="400" w:firstLineChars="200"/>
              <w:textAlignment w:val="auto"/>
              <w:rPr>
                <w:rFonts w:hint="eastAsia" w:asciiTheme="minorEastAsia" w:hAnsiTheme="minorEastAsia" w:eastAsiaTheme="minorEastAsia" w:cstheme="minorEastAsia"/>
                <w:kern w:val="0"/>
                <w:sz w:val="20"/>
                <w:szCs w:val="20"/>
                <w:highlight w:val="none"/>
              </w:rPr>
            </w:pPr>
          </w:p>
        </w:tc>
        <w:tc>
          <w:tcPr>
            <w:tcW w:w="3402"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14:paraId="0D58D294">
            <w:pPr>
              <w:keepNext w:val="0"/>
              <w:keepLines w:val="0"/>
              <w:pageBreakBefore w:val="0"/>
              <w:widowControl w:val="0"/>
              <w:kinsoku/>
              <w:wordWrap/>
              <w:overflowPunct/>
              <w:topLinePunct w:val="0"/>
              <w:autoSpaceDE/>
              <w:autoSpaceDN/>
              <w:bidi w:val="0"/>
              <w:adjustRightInd/>
              <w:snapToGrid/>
              <w:spacing w:line="300" w:lineRule="auto"/>
              <w:ind w:left="0" w:leftChars="0" w:firstLine="400" w:firstLineChars="200"/>
              <w:textAlignment w:val="auto"/>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kern w:val="0"/>
                <w:sz w:val="20"/>
                <w:szCs w:val="20"/>
                <w:highlight w:val="none"/>
              </w:rPr>
              <w:t>合格</w:t>
            </w:r>
          </w:p>
        </w:tc>
        <w:tc>
          <w:tcPr>
            <w:tcW w:w="1551"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14:paraId="27C4BD19">
            <w:pPr>
              <w:keepNext w:val="0"/>
              <w:keepLines w:val="0"/>
              <w:pageBreakBefore w:val="0"/>
              <w:widowControl w:val="0"/>
              <w:kinsoku/>
              <w:wordWrap/>
              <w:overflowPunct/>
              <w:topLinePunct w:val="0"/>
              <w:autoSpaceDE/>
              <w:autoSpaceDN/>
              <w:bidi w:val="0"/>
              <w:adjustRightInd/>
              <w:snapToGrid/>
              <w:spacing w:line="300" w:lineRule="auto"/>
              <w:ind w:left="0" w:leftChars="0" w:firstLine="400" w:firstLineChars="200"/>
              <w:textAlignment w:val="auto"/>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kern w:val="0"/>
                <w:sz w:val="20"/>
                <w:szCs w:val="20"/>
                <w:highlight w:val="none"/>
              </w:rPr>
              <w:t>2</w:t>
            </w:r>
          </w:p>
        </w:tc>
      </w:tr>
    </w:tbl>
    <w:p w14:paraId="53EFE203">
      <w:pPr>
        <w:keepNext w:val="0"/>
        <w:keepLines w:val="0"/>
        <w:pageBreakBefore w:val="0"/>
        <w:widowControl w:val="0"/>
        <w:kinsoku/>
        <w:wordWrap/>
        <w:overflowPunct/>
        <w:topLinePunct w:val="0"/>
        <w:autoSpaceDE/>
        <w:autoSpaceDN/>
        <w:bidi w:val="0"/>
        <w:adjustRightInd/>
        <w:snapToGrid/>
        <w:spacing w:line="300" w:lineRule="auto"/>
        <w:ind w:left="0" w:leftChars="0" w:firstLine="400" w:firstLineChars="200"/>
        <w:textAlignment w:val="auto"/>
        <w:rPr>
          <w:rFonts w:hint="eastAsia" w:asciiTheme="minorEastAsia" w:hAnsiTheme="minorEastAsia" w:eastAsiaTheme="minorEastAsia" w:cstheme="minorEastAsia"/>
          <w:b/>
          <w:bCs/>
          <w:kern w:val="0"/>
          <w:sz w:val="20"/>
          <w:szCs w:val="20"/>
          <w:highlight w:val="yellow"/>
        </w:rPr>
      </w:pPr>
      <w:r>
        <w:rPr>
          <w:rFonts w:hint="eastAsia" w:asciiTheme="minorEastAsia" w:hAnsiTheme="minorEastAsia" w:eastAsiaTheme="minorEastAsia" w:cstheme="minorEastAsia"/>
          <w:kern w:val="0"/>
          <w:sz w:val="20"/>
          <w:szCs w:val="20"/>
          <w:highlight w:val="none"/>
        </w:rPr>
        <w:t>说明：具体见《上海海事大学产教融合研究生联合培养实施办法》，研究生经学校和产教融合研究生联合培养基地选拔，参加深度产教融合联合培养且通过考核。</w:t>
      </w:r>
      <w:r>
        <w:rPr>
          <w:rFonts w:hint="eastAsia" w:asciiTheme="minorEastAsia" w:hAnsiTheme="minorEastAsia" w:cstheme="minorEastAsia"/>
          <w:b/>
          <w:bCs/>
          <w:kern w:val="0"/>
          <w:sz w:val="20"/>
          <w:szCs w:val="20"/>
          <w:highlight w:val="yellow"/>
          <w:lang w:val="en-US" w:eastAsia="zh-CN"/>
        </w:rPr>
        <w:t>专业型硕士</w:t>
      </w:r>
      <w:r>
        <w:rPr>
          <w:rFonts w:hint="eastAsia" w:asciiTheme="minorEastAsia" w:hAnsiTheme="minorEastAsia" w:eastAsiaTheme="minorEastAsia" w:cstheme="minorEastAsia"/>
          <w:b/>
          <w:bCs/>
          <w:kern w:val="0"/>
          <w:sz w:val="20"/>
          <w:szCs w:val="20"/>
          <w:highlight w:val="yellow"/>
        </w:rPr>
        <w:t>1年及以上校级产教融合研究生联合培养基地联合培养经历以1.5倍计分。</w:t>
      </w:r>
    </w:p>
    <w:p w14:paraId="3B3456F6">
      <w:pPr>
        <w:pStyle w:val="5"/>
        <w:widowControl/>
        <w:shd w:val="clear" w:color="auto" w:fill="FFFFFF"/>
        <w:spacing w:beforeAutospacing="0" w:afterAutospacing="0" w:line="600" w:lineRule="exact"/>
        <w:ind w:firstLine="640"/>
        <w:jc w:val="both"/>
        <w:rPr>
          <w:rFonts w:hint="eastAsia" w:asciiTheme="minorEastAsia" w:hAnsiTheme="minorEastAsia" w:eastAsiaTheme="minorEastAsia" w:cstheme="minorEastAsia"/>
          <w:b/>
          <w:bCs/>
          <w:kern w:val="0"/>
          <w:sz w:val="20"/>
          <w:szCs w:val="20"/>
          <w:highlight w:val="none"/>
          <w:lang w:val="en-US" w:eastAsia="zh-CN" w:bidi="ar-SA"/>
        </w:rPr>
      </w:pPr>
      <w:r>
        <w:rPr>
          <w:rFonts w:hint="eastAsia" w:asciiTheme="minorEastAsia" w:hAnsiTheme="minorEastAsia" w:eastAsiaTheme="minorEastAsia" w:cstheme="minorEastAsia"/>
          <w:b/>
          <w:bCs/>
          <w:kern w:val="0"/>
          <w:sz w:val="20"/>
          <w:szCs w:val="20"/>
          <w:highlight w:val="none"/>
          <w:lang w:val="en-US" w:eastAsia="zh-CN" w:bidi="ar-SA"/>
        </w:rPr>
        <w:t>(2)发明专利计分标准（单位：分/项）</w:t>
      </w:r>
      <w:bookmarkStart w:id="0" w:name="_GoBack"/>
      <w:bookmarkEnd w:id="0"/>
    </w:p>
    <w:tbl>
      <w:tblPr>
        <w:tblStyle w:val="6"/>
        <w:tblW w:w="0" w:type="auto"/>
        <w:jc w:val="center"/>
        <w:shd w:val="clear" w:color="auto" w:fill="FFFFFF"/>
        <w:tblLayout w:type="autofit"/>
        <w:tblCellMar>
          <w:top w:w="15" w:type="dxa"/>
          <w:left w:w="15" w:type="dxa"/>
          <w:bottom w:w="15" w:type="dxa"/>
          <w:right w:w="15" w:type="dxa"/>
        </w:tblCellMar>
      </w:tblPr>
      <w:tblGrid>
        <w:gridCol w:w="3387"/>
        <w:gridCol w:w="1320"/>
        <w:gridCol w:w="1230"/>
      </w:tblGrid>
      <w:tr w14:paraId="7444C105">
        <w:tblPrEx>
          <w:shd w:val="clear" w:color="auto" w:fill="FFFFFF"/>
          <w:tblCellMar>
            <w:top w:w="15" w:type="dxa"/>
            <w:left w:w="15" w:type="dxa"/>
            <w:bottom w:w="15" w:type="dxa"/>
            <w:right w:w="15" w:type="dxa"/>
          </w:tblCellMar>
        </w:tblPrEx>
        <w:trPr>
          <w:trHeight w:val="330" w:hRule="atLeast"/>
          <w:jc w:val="center"/>
        </w:trPr>
        <w:tc>
          <w:tcPr>
            <w:tcW w:w="3387" w:type="dxa"/>
            <w:tcBorders>
              <w:top w:val="single" w:color="auto" w:sz="4" w:space="0"/>
              <w:left w:val="single" w:color="auto" w:sz="4" w:space="0"/>
              <w:bottom w:val="single" w:color="auto" w:sz="4" w:space="0"/>
              <w:right w:val="single" w:color="auto" w:sz="4" w:space="0"/>
            </w:tcBorders>
            <w:shd w:val="clear" w:color="auto" w:fill="FFFFFF"/>
            <w:tcMar>
              <w:top w:w="0" w:type="dxa"/>
              <w:left w:w="105" w:type="dxa"/>
              <w:bottom w:w="0" w:type="dxa"/>
              <w:right w:w="105" w:type="dxa"/>
            </w:tcMar>
            <w:vAlign w:val="center"/>
          </w:tcPr>
          <w:p w14:paraId="657B8ADA">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成果类型</w:t>
            </w:r>
          </w:p>
        </w:tc>
        <w:tc>
          <w:tcPr>
            <w:tcW w:w="1320" w:type="dxa"/>
            <w:tcBorders>
              <w:top w:val="single" w:color="auto" w:sz="4" w:space="0"/>
              <w:left w:val="single" w:color="auto" w:sz="4" w:space="0"/>
              <w:bottom w:val="single" w:color="auto" w:sz="4" w:space="0"/>
              <w:right w:val="single" w:color="auto" w:sz="4" w:space="0"/>
            </w:tcBorders>
            <w:shd w:val="clear" w:color="auto" w:fill="FFFFFF"/>
            <w:tcMar>
              <w:top w:w="0" w:type="dxa"/>
              <w:left w:w="105" w:type="dxa"/>
              <w:bottom w:w="0" w:type="dxa"/>
              <w:right w:w="105" w:type="dxa"/>
            </w:tcMar>
            <w:vAlign w:val="center"/>
          </w:tcPr>
          <w:p w14:paraId="2EE4992A">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排名1</w:t>
            </w:r>
          </w:p>
        </w:tc>
        <w:tc>
          <w:tcPr>
            <w:tcW w:w="1230" w:type="dxa"/>
            <w:tcBorders>
              <w:top w:val="single" w:color="auto" w:sz="4" w:space="0"/>
              <w:left w:val="single" w:color="auto" w:sz="4" w:space="0"/>
              <w:bottom w:val="single" w:color="auto" w:sz="4" w:space="0"/>
              <w:right w:val="single" w:color="auto" w:sz="4" w:space="0"/>
            </w:tcBorders>
            <w:shd w:val="clear" w:color="auto" w:fill="FFFFFF"/>
            <w:tcMar>
              <w:top w:w="0" w:type="dxa"/>
              <w:left w:w="105" w:type="dxa"/>
              <w:bottom w:w="0" w:type="dxa"/>
              <w:right w:w="105" w:type="dxa"/>
            </w:tcMar>
            <w:vAlign w:val="center"/>
          </w:tcPr>
          <w:p w14:paraId="4F1AF694">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排名2</w:t>
            </w:r>
          </w:p>
        </w:tc>
      </w:tr>
      <w:tr w14:paraId="09E1B579">
        <w:tblPrEx>
          <w:tblCellMar>
            <w:top w:w="15" w:type="dxa"/>
            <w:left w:w="15" w:type="dxa"/>
            <w:bottom w:w="15" w:type="dxa"/>
            <w:right w:w="15" w:type="dxa"/>
          </w:tblCellMar>
        </w:tblPrEx>
        <w:trPr>
          <w:trHeight w:val="316" w:hRule="atLeast"/>
          <w:jc w:val="center"/>
        </w:trPr>
        <w:tc>
          <w:tcPr>
            <w:tcW w:w="3387" w:type="dxa"/>
            <w:tcBorders>
              <w:top w:val="single" w:color="auto" w:sz="4" w:space="0"/>
              <w:left w:val="single" w:color="auto" w:sz="4" w:space="0"/>
              <w:bottom w:val="single" w:color="auto" w:sz="4" w:space="0"/>
              <w:right w:val="single" w:color="auto" w:sz="4" w:space="0"/>
            </w:tcBorders>
            <w:shd w:val="clear" w:color="auto" w:fill="FFFFFF"/>
            <w:tcMar>
              <w:top w:w="0" w:type="dxa"/>
              <w:left w:w="105" w:type="dxa"/>
              <w:bottom w:w="0" w:type="dxa"/>
              <w:right w:w="105" w:type="dxa"/>
            </w:tcMar>
            <w:vAlign w:val="center"/>
          </w:tcPr>
          <w:p w14:paraId="14448DE5">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国际发明专利</w:t>
            </w:r>
          </w:p>
        </w:tc>
        <w:tc>
          <w:tcPr>
            <w:tcW w:w="1320" w:type="dxa"/>
            <w:tcBorders>
              <w:top w:val="single" w:color="auto" w:sz="4" w:space="0"/>
              <w:left w:val="single" w:color="auto" w:sz="4" w:space="0"/>
              <w:bottom w:val="single" w:color="auto" w:sz="4" w:space="0"/>
              <w:right w:val="single" w:color="auto" w:sz="4" w:space="0"/>
            </w:tcBorders>
            <w:shd w:val="clear" w:color="auto" w:fill="FFFFFF"/>
            <w:tcMar>
              <w:top w:w="0" w:type="dxa"/>
              <w:left w:w="105" w:type="dxa"/>
              <w:bottom w:w="0" w:type="dxa"/>
              <w:right w:w="105" w:type="dxa"/>
            </w:tcMar>
            <w:vAlign w:val="center"/>
          </w:tcPr>
          <w:p w14:paraId="16E18EE8">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18</w:t>
            </w:r>
          </w:p>
        </w:tc>
        <w:tc>
          <w:tcPr>
            <w:tcW w:w="1230" w:type="dxa"/>
            <w:tcBorders>
              <w:top w:val="single" w:color="auto" w:sz="4" w:space="0"/>
              <w:left w:val="single" w:color="auto" w:sz="4" w:space="0"/>
              <w:bottom w:val="single" w:color="auto" w:sz="4" w:space="0"/>
              <w:right w:val="single" w:color="auto" w:sz="4" w:space="0"/>
            </w:tcBorders>
            <w:shd w:val="clear" w:color="auto" w:fill="FFFFFF"/>
            <w:tcMar>
              <w:top w:w="0" w:type="dxa"/>
              <w:left w:w="105" w:type="dxa"/>
              <w:bottom w:w="0" w:type="dxa"/>
              <w:right w:w="105" w:type="dxa"/>
            </w:tcMar>
            <w:vAlign w:val="center"/>
          </w:tcPr>
          <w:p w14:paraId="726C8162">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9</w:t>
            </w:r>
          </w:p>
        </w:tc>
      </w:tr>
      <w:tr w14:paraId="590CA3F6">
        <w:tblPrEx>
          <w:shd w:val="clear" w:color="auto" w:fill="FFFFFF"/>
          <w:tblCellMar>
            <w:top w:w="15" w:type="dxa"/>
            <w:left w:w="15" w:type="dxa"/>
            <w:bottom w:w="15" w:type="dxa"/>
            <w:right w:w="15" w:type="dxa"/>
          </w:tblCellMar>
        </w:tblPrEx>
        <w:trPr>
          <w:trHeight w:val="286" w:hRule="atLeast"/>
          <w:jc w:val="center"/>
        </w:trPr>
        <w:tc>
          <w:tcPr>
            <w:tcW w:w="3387" w:type="dxa"/>
            <w:tcBorders>
              <w:top w:val="single" w:color="auto" w:sz="4" w:space="0"/>
              <w:left w:val="single" w:color="auto" w:sz="4" w:space="0"/>
              <w:bottom w:val="single" w:color="auto" w:sz="4" w:space="0"/>
              <w:right w:val="single" w:color="auto" w:sz="4" w:space="0"/>
            </w:tcBorders>
            <w:shd w:val="clear" w:color="auto" w:fill="FFFFFF"/>
            <w:tcMar>
              <w:top w:w="0" w:type="dxa"/>
              <w:left w:w="105" w:type="dxa"/>
              <w:bottom w:w="0" w:type="dxa"/>
              <w:right w:w="105" w:type="dxa"/>
            </w:tcMar>
            <w:vAlign w:val="center"/>
          </w:tcPr>
          <w:p w14:paraId="59D3238B">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国内高价值发明专利</w:t>
            </w:r>
          </w:p>
        </w:tc>
        <w:tc>
          <w:tcPr>
            <w:tcW w:w="1320" w:type="dxa"/>
            <w:tcBorders>
              <w:top w:val="single" w:color="auto" w:sz="4" w:space="0"/>
              <w:left w:val="single" w:color="auto" w:sz="4" w:space="0"/>
              <w:bottom w:val="single" w:color="auto" w:sz="4" w:space="0"/>
              <w:right w:val="single" w:color="auto" w:sz="4" w:space="0"/>
            </w:tcBorders>
            <w:shd w:val="clear" w:color="auto" w:fill="FFFFFF"/>
            <w:tcMar>
              <w:top w:w="0" w:type="dxa"/>
              <w:left w:w="105" w:type="dxa"/>
              <w:bottom w:w="0" w:type="dxa"/>
              <w:right w:w="105" w:type="dxa"/>
            </w:tcMar>
            <w:vAlign w:val="center"/>
          </w:tcPr>
          <w:p w14:paraId="4BA36F09">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6</w:t>
            </w:r>
          </w:p>
        </w:tc>
        <w:tc>
          <w:tcPr>
            <w:tcW w:w="1230" w:type="dxa"/>
            <w:tcBorders>
              <w:top w:val="single" w:color="auto" w:sz="4" w:space="0"/>
              <w:left w:val="single" w:color="auto" w:sz="4" w:space="0"/>
              <w:bottom w:val="single" w:color="auto" w:sz="4" w:space="0"/>
              <w:right w:val="single" w:color="auto" w:sz="4" w:space="0"/>
            </w:tcBorders>
            <w:shd w:val="clear" w:color="auto" w:fill="FFFFFF"/>
            <w:tcMar>
              <w:top w:w="0" w:type="dxa"/>
              <w:left w:w="105" w:type="dxa"/>
              <w:bottom w:w="0" w:type="dxa"/>
              <w:right w:w="105" w:type="dxa"/>
            </w:tcMar>
            <w:vAlign w:val="center"/>
          </w:tcPr>
          <w:p w14:paraId="2711164A">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3</w:t>
            </w:r>
          </w:p>
        </w:tc>
      </w:tr>
      <w:tr w14:paraId="77A9619D">
        <w:tblPrEx>
          <w:shd w:val="clear" w:color="auto" w:fill="FFFFFF"/>
          <w:tblCellMar>
            <w:top w:w="15" w:type="dxa"/>
            <w:left w:w="15" w:type="dxa"/>
            <w:bottom w:w="15" w:type="dxa"/>
            <w:right w:w="15" w:type="dxa"/>
          </w:tblCellMar>
        </w:tblPrEx>
        <w:trPr>
          <w:trHeight w:val="301" w:hRule="atLeast"/>
          <w:jc w:val="center"/>
        </w:trPr>
        <w:tc>
          <w:tcPr>
            <w:tcW w:w="3387" w:type="dxa"/>
            <w:tcBorders>
              <w:top w:val="single" w:color="auto" w:sz="4" w:space="0"/>
              <w:left w:val="single" w:color="auto" w:sz="4" w:space="0"/>
              <w:bottom w:val="single" w:color="auto" w:sz="4" w:space="0"/>
              <w:right w:val="single" w:color="auto" w:sz="4" w:space="0"/>
            </w:tcBorders>
            <w:shd w:val="clear" w:color="auto" w:fill="FFFFFF"/>
            <w:tcMar>
              <w:top w:w="0" w:type="dxa"/>
              <w:left w:w="105" w:type="dxa"/>
              <w:bottom w:w="0" w:type="dxa"/>
              <w:right w:w="105" w:type="dxa"/>
            </w:tcMar>
            <w:vAlign w:val="center"/>
          </w:tcPr>
          <w:p w14:paraId="1751C09A">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国内其他发明专利（含港澳台）</w:t>
            </w:r>
          </w:p>
        </w:tc>
        <w:tc>
          <w:tcPr>
            <w:tcW w:w="1320" w:type="dxa"/>
            <w:tcBorders>
              <w:top w:val="single" w:color="auto" w:sz="4" w:space="0"/>
              <w:left w:val="single" w:color="auto" w:sz="4" w:space="0"/>
              <w:bottom w:val="single" w:color="auto" w:sz="4" w:space="0"/>
              <w:right w:val="single" w:color="auto" w:sz="4" w:space="0"/>
            </w:tcBorders>
            <w:shd w:val="clear" w:color="auto" w:fill="FFFFFF"/>
            <w:tcMar>
              <w:top w:w="0" w:type="dxa"/>
              <w:left w:w="105" w:type="dxa"/>
              <w:bottom w:w="0" w:type="dxa"/>
              <w:right w:w="105" w:type="dxa"/>
            </w:tcMar>
            <w:vAlign w:val="center"/>
          </w:tcPr>
          <w:p w14:paraId="15841DEC">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3</w:t>
            </w:r>
          </w:p>
        </w:tc>
        <w:tc>
          <w:tcPr>
            <w:tcW w:w="1230" w:type="dxa"/>
            <w:tcBorders>
              <w:top w:val="single" w:color="auto" w:sz="4" w:space="0"/>
              <w:left w:val="single" w:color="auto" w:sz="4" w:space="0"/>
              <w:bottom w:val="single" w:color="auto" w:sz="4" w:space="0"/>
              <w:right w:val="single" w:color="auto" w:sz="4" w:space="0"/>
            </w:tcBorders>
            <w:shd w:val="clear" w:color="auto" w:fill="FFFFFF"/>
            <w:tcMar>
              <w:top w:w="0" w:type="dxa"/>
              <w:left w:w="105" w:type="dxa"/>
              <w:bottom w:w="0" w:type="dxa"/>
              <w:right w:w="105" w:type="dxa"/>
            </w:tcMar>
            <w:vAlign w:val="center"/>
          </w:tcPr>
          <w:p w14:paraId="48F9FCB9">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1.5</w:t>
            </w:r>
          </w:p>
        </w:tc>
      </w:tr>
    </w:tbl>
    <w:p w14:paraId="62B7EDE3">
      <w:pPr>
        <w:pStyle w:val="5"/>
        <w:widowControl/>
        <w:shd w:val="clear" w:color="auto" w:fill="FFFFFF"/>
        <w:spacing w:beforeAutospacing="0" w:afterAutospacing="0" w:line="600" w:lineRule="exact"/>
        <w:jc w:val="both"/>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说明：</w:t>
      </w:r>
    </w:p>
    <w:p w14:paraId="5EC55099">
      <w:pPr>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left"/>
        <w:textAlignment w:val="auto"/>
        <w:rPr>
          <w:rFonts w:hint="eastAsia" w:asciiTheme="minorEastAsia" w:hAnsiTheme="minorEastAsia" w:eastAsiaTheme="minorEastAsia" w:cstheme="minorEastAsia"/>
          <w:kern w:val="0"/>
          <w:sz w:val="20"/>
          <w:szCs w:val="20"/>
          <w:highlight w:val="none"/>
          <w:lang w:val="en-US" w:eastAsia="zh-CN"/>
        </w:rPr>
      </w:pPr>
      <w:r>
        <w:rPr>
          <w:rFonts w:hint="eastAsia" w:asciiTheme="minorEastAsia" w:hAnsiTheme="minorEastAsia" w:eastAsiaTheme="minorEastAsia" w:cstheme="minorEastAsia"/>
          <w:kern w:val="0"/>
          <w:sz w:val="20"/>
          <w:szCs w:val="20"/>
          <w:highlight w:val="none"/>
          <w:lang w:val="en-US" w:eastAsia="zh-CN"/>
        </w:rPr>
        <w:t>1.发明专利均须以我校为第一专利权人且已获得授权。</w:t>
      </w:r>
    </w:p>
    <w:p w14:paraId="32089C0D">
      <w:pPr>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left"/>
        <w:textAlignment w:val="auto"/>
        <w:rPr>
          <w:rFonts w:hint="eastAsia" w:asciiTheme="minorEastAsia" w:hAnsiTheme="minorEastAsia" w:eastAsiaTheme="minorEastAsia" w:cstheme="minorEastAsia"/>
          <w:kern w:val="0"/>
          <w:sz w:val="20"/>
          <w:szCs w:val="20"/>
          <w:highlight w:val="none"/>
          <w:lang w:val="en-US" w:eastAsia="zh-CN"/>
        </w:rPr>
      </w:pPr>
      <w:r>
        <w:rPr>
          <w:rFonts w:hint="eastAsia" w:asciiTheme="minorEastAsia" w:hAnsiTheme="minorEastAsia" w:eastAsiaTheme="minorEastAsia" w:cstheme="minorEastAsia"/>
          <w:kern w:val="0"/>
          <w:sz w:val="20"/>
          <w:szCs w:val="20"/>
          <w:highlight w:val="none"/>
          <w:lang w:val="en-US" w:eastAsia="zh-CN"/>
        </w:rPr>
        <w:t>2.发明专利只计排名前两位的分值。若为个人项目，则享受该成果排名第一的分值；若为合作项目，研究生为第二作者，但其导师（含第二导师）为第一作者，则享受该成果第一作者得分，如与其他人合作，该研究生获得其相应排名得分。</w:t>
      </w:r>
    </w:p>
    <w:p w14:paraId="6DB04AD9">
      <w:pPr>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left"/>
        <w:textAlignment w:val="auto"/>
        <w:rPr>
          <w:rFonts w:hint="eastAsia" w:asciiTheme="minorEastAsia" w:hAnsiTheme="minorEastAsia" w:eastAsiaTheme="minorEastAsia" w:cstheme="minorEastAsia"/>
          <w:kern w:val="0"/>
          <w:sz w:val="20"/>
          <w:szCs w:val="20"/>
          <w:highlight w:val="none"/>
          <w:lang w:val="en-US" w:eastAsia="zh-CN"/>
        </w:rPr>
      </w:pPr>
      <w:r>
        <w:rPr>
          <w:rFonts w:hint="eastAsia" w:asciiTheme="minorEastAsia" w:hAnsiTheme="minorEastAsia" w:eastAsiaTheme="minorEastAsia" w:cstheme="minorEastAsia"/>
          <w:kern w:val="0"/>
          <w:sz w:val="20"/>
          <w:szCs w:val="20"/>
          <w:highlight w:val="none"/>
          <w:lang w:val="en-US" w:eastAsia="zh-CN"/>
        </w:rPr>
        <w:t>3.国际发明专利授权国家仅限美国、英国、法国、德国、日本、韩国、加拿大、西班牙、葡萄牙、意大利和俄罗斯。</w:t>
      </w:r>
    </w:p>
    <w:p w14:paraId="3219BE4A">
      <w:pPr>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left"/>
        <w:textAlignment w:val="auto"/>
        <w:rPr>
          <w:rFonts w:hint="eastAsia" w:asciiTheme="minorEastAsia" w:hAnsiTheme="minorEastAsia" w:eastAsiaTheme="minorEastAsia" w:cstheme="minorEastAsia"/>
          <w:kern w:val="0"/>
          <w:sz w:val="20"/>
          <w:szCs w:val="20"/>
          <w:highlight w:val="none"/>
          <w:lang w:val="en-US" w:eastAsia="zh-CN"/>
        </w:rPr>
      </w:pPr>
      <w:r>
        <w:rPr>
          <w:rFonts w:hint="eastAsia" w:asciiTheme="minorEastAsia" w:hAnsiTheme="minorEastAsia" w:eastAsiaTheme="minorEastAsia" w:cstheme="minorEastAsia"/>
          <w:kern w:val="0"/>
          <w:sz w:val="20"/>
          <w:szCs w:val="20"/>
          <w:highlight w:val="none"/>
          <w:lang w:val="en-US" w:eastAsia="zh-CN"/>
        </w:rPr>
        <w:t>4.国内高价值发明专利依据国家知识产权局有关标准予以认定。发明专利按授权公告日期计算工作量。以各种方式实现成果转化的发明专利，按照国内高价值发明专利计分。</w:t>
      </w:r>
    </w:p>
    <w:p w14:paraId="11449404">
      <w:pPr>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left"/>
        <w:textAlignment w:val="auto"/>
        <w:rPr>
          <w:rFonts w:hint="eastAsia" w:asciiTheme="minorEastAsia" w:hAnsiTheme="minorEastAsia" w:eastAsiaTheme="minorEastAsia" w:cstheme="minorEastAsia"/>
          <w:kern w:val="0"/>
          <w:sz w:val="20"/>
          <w:szCs w:val="20"/>
          <w:highlight w:val="none"/>
          <w:lang w:val="en-US" w:eastAsia="zh-CN"/>
        </w:rPr>
      </w:pPr>
      <w:r>
        <w:rPr>
          <w:rFonts w:hint="eastAsia" w:asciiTheme="minorEastAsia" w:hAnsiTheme="minorEastAsia" w:eastAsiaTheme="minorEastAsia" w:cstheme="minorEastAsia"/>
          <w:kern w:val="0"/>
          <w:sz w:val="20"/>
          <w:szCs w:val="20"/>
          <w:highlight w:val="none"/>
          <w:lang w:val="en-US" w:eastAsia="zh-CN"/>
        </w:rPr>
        <w:t>5.发明专利按授权公告日期计算成果分值。</w:t>
      </w:r>
    </w:p>
    <w:p w14:paraId="78F3489B">
      <w:pPr>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left"/>
        <w:textAlignment w:val="auto"/>
        <w:rPr>
          <w:rFonts w:hint="eastAsia" w:asciiTheme="minorEastAsia" w:hAnsiTheme="minorEastAsia" w:eastAsiaTheme="minorEastAsia" w:cstheme="minorEastAsia"/>
          <w:kern w:val="0"/>
          <w:sz w:val="20"/>
          <w:szCs w:val="20"/>
          <w:highlight w:val="none"/>
          <w:lang w:val="en-US" w:eastAsia="zh-CN"/>
        </w:rPr>
      </w:pPr>
      <w:r>
        <w:rPr>
          <w:rFonts w:hint="eastAsia" w:asciiTheme="minorEastAsia" w:hAnsiTheme="minorEastAsia" w:eastAsiaTheme="minorEastAsia" w:cstheme="minorEastAsia"/>
          <w:kern w:val="0"/>
          <w:sz w:val="20"/>
          <w:szCs w:val="20"/>
          <w:highlight w:val="none"/>
          <w:lang w:val="en-US" w:eastAsia="zh-CN"/>
        </w:rPr>
        <w:t>6.获中国专利金奖、银奖和优秀奖的发明专利，每项分别附加100分、50分和20分。获上海知识产权创新奖一等奖、二等奖和三等奖的发明专利，每项分别附加50分、20分和10分。</w:t>
      </w:r>
    </w:p>
    <w:p w14:paraId="4059CA65">
      <w:pPr>
        <w:pStyle w:val="5"/>
        <w:widowControl/>
        <w:shd w:val="clear" w:color="auto" w:fill="FFFFFF"/>
        <w:spacing w:beforeAutospacing="0" w:afterAutospacing="0" w:line="600" w:lineRule="exact"/>
        <w:ind w:firstLine="640"/>
        <w:jc w:val="both"/>
        <w:rPr>
          <w:rFonts w:hint="eastAsia" w:asciiTheme="minorEastAsia" w:hAnsiTheme="minorEastAsia" w:eastAsiaTheme="minorEastAsia" w:cstheme="minorEastAsia"/>
          <w:b/>
          <w:bCs/>
          <w:kern w:val="0"/>
          <w:sz w:val="20"/>
          <w:szCs w:val="20"/>
          <w:highlight w:val="none"/>
          <w:lang w:val="en-US" w:eastAsia="zh-CN" w:bidi="ar-SA"/>
        </w:rPr>
      </w:pPr>
      <w:r>
        <w:rPr>
          <w:rFonts w:hint="eastAsia" w:asciiTheme="minorEastAsia" w:hAnsiTheme="minorEastAsia" w:eastAsiaTheme="minorEastAsia" w:cstheme="minorEastAsia"/>
          <w:b/>
          <w:bCs/>
          <w:kern w:val="0"/>
          <w:sz w:val="20"/>
          <w:szCs w:val="20"/>
          <w:highlight w:val="none"/>
          <w:lang w:val="en-US" w:eastAsia="zh-CN" w:bidi="ar-SA"/>
        </w:rPr>
        <w:t>（3）著作计分标准（单位：分/5万字）</w:t>
      </w:r>
    </w:p>
    <w:tbl>
      <w:tblPr>
        <w:tblStyle w:val="6"/>
        <w:tblW w:w="0" w:type="auto"/>
        <w:jc w:val="center"/>
        <w:shd w:val="clear" w:color="auto" w:fill="FFFFFF"/>
        <w:tblLayout w:type="autofit"/>
        <w:tblCellMar>
          <w:top w:w="15" w:type="dxa"/>
          <w:left w:w="15" w:type="dxa"/>
          <w:bottom w:w="15" w:type="dxa"/>
          <w:right w:w="15" w:type="dxa"/>
        </w:tblCellMar>
      </w:tblPr>
      <w:tblGrid>
        <w:gridCol w:w="1323"/>
        <w:gridCol w:w="4981"/>
        <w:gridCol w:w="1064"/>
      </w:tblGrid>
      <w:tr w14:paraId="65AA2869">
        <w:tblPrEx>
          <w:shd w:val="clear" w:color="auto" w:fill="FFFFFF"/>
          <w:tblCellMar>
            <w:top w:w="15" w:type="dxa"/>
            <w:left w:w="15" w:type="dxa"/>
            <w:bottom w:w="15" w:type="dxa"/>
            <w:right w:w="15" w:type="dxa"/>
          </w:tblCellMar>
        </w:tblPrEx>
        <w:trPr>
          <w:trHeight w:val="286" w:hRule="atLeast"/>
          <w:jc w:val="center"/>
        </w:trPr>
        <w:tc>
          <w:tcPr>
            <w:tcW w:w="1323" w:type="dxa"/>
            <w:tcBorders>
              <w:top w:val="single" w:color="000000" w:sz="6" w:space="0"/>
              <w:left w:val="single" w:color="000000" w:sz="6" w:space="0"/>
              <w:bottom w:val="single" w:color="000000" w:sz="6" w:space="0"/>
              <w:right w:val="single" w:color="000000" w:sz="6" w:space="0"/>
            </w:tcBorders>
            <w:shd w:val="clear" w:color="auto" w:fill="FFFFFF"/>
            <w:tcMar>
              <w:top w:w="0" w:type="dxa"/>
              <w:left w:w="105" w:type="dxa"/>
              <w:bottom w:w="0" w:type="dxa"/>
              <w:right w:w="105" w:type="dxa"/>
            </w:tcMar>
          </w:tcPr>
          <w:p w14:paraId="102EC9E5">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成果种类</w:t>
            </w:r>
          </w:p>
        </w:tc>
        <w:tc>
          <w:tcPr>
            <w:tcW w:w="4981" w:type="dxa"/>
            <w:tcBorders>
              <w:top w:val="single" w:color="000000" w:sz="6" w:space="0"/>
              <w:left w:val="nil"/>
              <w:bottom w:val="single" w:color="000000" w:sz="6" w:space="0"/>
              <w:right w:val="single" w:color="000000" w:sz="6" w:space="0"/>
            </w:tcBorders>
            <w:shd w:val="clear" w:color="auto" w:fill="FFFFFF"/>
            <w:tcMar>
              <w:top w:w="0" w:type="dxa"/>
              <w:left w:w="105" w:type="dxa"/>
              <w:bottom w:w="0" w:type="dxa"/>
              <w:right w:w="105" w:type="dxa"/>
            </w:tcMar>
          </w:tcPr>
          <w:p w14:paraId="47A77A24">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成果范畴</w:t>
            </w:r>
          </w:p>
        </w:tc>
        <w:tc>
          <w:tcPr>
            <w:tcW w:w="1064" w:type="dxa"/>
            <w:tcBorders>
              <w:top w:val="single" w:color="000000" w:sz="6" w:space="0"/>
              <w:left w:val="nil"/>
              <w:bottom w:val="single" w:color="000000" w:sz="6" w:space="0"/>
              <w:right w:val="single" w:color="000000" w:sz="6" w:space="0"/>
            </w:tcBorders>
            <w:shd w:val="clear" w:color="auto" w:fill="FFFFFF"/>
            <w:tcMar>
              <w:top w:w="0" w:type="dxa"/>
              <w:left w:w="105" w:type="dxa"/>
              <w:bottom w:w="0" w:type="dxa"/>
              <w:right w:w="105" w:type="dxa"/>
            </w:tcMar>
          </w:tcPr>
          <w:p w14:paraId="1B9ECD9C">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标准分</w:t>
            </w:r>
          </w:p>
        </w:tc>
      </w:tr>
      <w:tr w14:paraId="493AF0D3">
        <w:tblPrEx>
          <w:shd w:val="clear" w:color="auto" w:fill="FFFFFF"/>
          <w:tblCellMar>
            <w:top w:w="15" w:type="dxa"/>
            <w:left w:w="15" w:type="dxa"/>
            <w:bottom w:w="15" w:type="dxa"/>
            <w:right w:w="15" w:type="dxa"/>
          </w:tblCellMar>
        </w:tblPrEx>
        <w:trPr>
          <w:jc w:val="center"/>
        </w:trPr>
        <w:tc>
          <w:tcPr>
            <w:tcW w:w="1323" w:type="dxa"/>
            <w:vMerge w:val="restart"/>
            <w:tcBorders>
              <w:top w:val="nil"/>
              <w:left w:val="single" w:color="000000" w:sz="6" w:space="0"/>
              <w:right w:val="single" w:color="000000" w:sz="6" w:space="0"/>
            </w:tcBorders>
            <w:shd w:val="clear" w:color="auto" w:fill="FFFFFF"/>
            <w:tcMar>
              <w:top w:w="0" w:type="dxa"/>
              <w:left w:w="105" w:type="dxa"/>
              <w:bottom w:w="0" w:type="dxa"/>
              <w:right w:w="105" w:type="dxa"/>
            </w:tcMar>
            <w:vAlign w:val="center"/>
          </w:tcPr>
          <w:p w14:paraId="7973B14A">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著作</w:t>
            </w:r>
          </w:p>
        </w:tc>
        <w:tc>
          <w:tcPr>
            <w:tcW w:w="4981"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tcPr>
          <w:p w14:paraId="06EF350A">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入选国家哲学社会科学文库的学术著作</w:t>
            </w:r>
          </w:p>
        </w:tc>
        <w:tc>
          <w:tcPr>
            <w:tcW w:w="1064"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tcPr>
          <w:p w14:paraId="219E2C15">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80</w:t>
            </w:r>
          </w:p>
        </w:tc>
      </w:tr>
      <w:tr w14:paraId="3D10869D">
        <w:tblPrEx>
          <w:shd w:val="clear" w:color="auto" w:fill="FFFFFF"/>
          <w:tblCellMar>
            <w:top w:w="15" w:type="dxa"/>
            <w:left w:w="15" w:type="dxa"/>
            <w:bottom w:w="15" w:type="dxa"/>
            <w:right w:w="15" w:type="dxa"/>
          </w:tblCellMar>
        </w:tblPrEx>
        <w:trPr>
          <w:jc w:val="center"/>
        </w:trPr>
        <w:tc>
          <w:tcPr>
            <w:tcW w:w="1323" w:type="dxa"/>
            <w:vMerge w:val="continue"/>
            <w:tcBorders>
              <w:left w:val="single" w:color="000000" w:sz="6" w:space="0"/>
              <w:right w:val="single" w:color="000000" w:sz="6" w:space="0"/>
            </w:tcBorders>
            <w:shd w:val="clear" w:color="auto" w:fill="FFFFFF"/>
            <w:tcMar>
              <w:top w:w="0" w:type="dxa"/>
              <w:left w:w="105" w:type="dxa"/>
              <w:bottom w:w="0" w:type="dxa"/>
              <w:right w:w="105" w:type="dxa"/>
            </w:tcMar>
            <w:vAlign w:val="center"/>
          </w:tcPr>
          <w:p w14:paraId="500F5C99">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p>
        </w:tc>
        <w:tc>
          <w:tcPr>
            <w:tcW w:w="4981"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tcPr>
          <w:p w14:paraId="5093FC72">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国家级著作（专著）出版基金资助的学术著作</w:t>
            </w:r>
          </w:p>
        </w:tc>
        <w:tc>
          <w:tcPr>
            <w:tcW w:w="1064"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tcPr>
          <w:p w14:paraId="53E9D7B7">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40</w:t>
            </w:r>
          </w:p>
        </w:tc>
      </w:tr>
      <w:tr w14:paraId="189CFC71">
        <w:tblPrEx>
          <w:tblCellMar>
            <w:top w:w="15" w:type="dxa"/>
            <w:left w:w="15" w:type="dxa"/>
            <w:bottom w:w="15" w:type="dxa"/>
            <w:right w:w="15" w:type="dxa"/>
          </w:tblCellMar>
        </w:tblPrEx>
        <w:trPr>
          <w:jc w:val="center"/>
        </w:trPr>
        <w:tc>
          <w:tcPr>
            <w:tcW w:w="1323" w:type="dxa"/>
            <w:vMerge w:val="continue"/>
            <w:tcBorders>
              <w:left w:val="single" w:color="000000" w:sz="6" w:space="0"/>
              <w:right w:val="single" w:color="000000" w:sz="6" w:space="0"/>
            </w:tcBorders>
            <w:shd w:val="clear" w:color="auto" w:fill="FFFFFF"/>
            <w:tcMar>
              <w:top w:w="0" w:type="dxa"/>
              <w:left w:w="105" w:type="dxa"/>
              <w:bottom w:w="0" w:type="dxa"/>
              <w:right w:w="105" w:type="dxa"/>
            </w:tcMar>
            <w:vAlign w:val="center"/>
          </w:tcPr>
          <w:p w14:paraId="0421773A">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p>
        </w:tc>
        <w:tc>
          <w:tcPr>
            <w:tcW w:w="4981"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tcPr>
          <w:p w14:paraId="750CDCF2">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省部级著作（专著）出版基金资助的学术著作</w:t>
            </w:r>
          </w:p>
        </w:tc>
        <w:tc>
          <w:tcPr>
            <w:tcW w:w="1064"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tcPr>
          <w:p w14:paraId="2FB5C427">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20</w:t>
            </w:r>
          </w:p>
        </w:tc>
      </w:tr>
      <w:tr w14:paraId="24BAB469">
        <w:tblPrEx>
          <w:tblCellMar>
            <w:top w:w="15" w:type="dxa"/>
            <w:left w:w="15" w:type="dxa"/>
            <w:bottom w:w="15" w:type="dxa"/>
            <w:right w:w="15" w:type="dxa"/>
          </w:tblCellMar>
        </w:tblPrEx>
        <w:trPr>
          <w:jc w:val="center"/>
        </w:trPr>
        <w:tc>
          <w:tcPr>
            <w:tcW w:w="1323" w:type="dxa"/>
            <w:vMerge w:val="continue"/>
            <w:tcBorders>
              <w:left w:val="single" w:color="000000" w:sz="6" w:space="0"/>
              <w:right w:val="single" w:color="000000" w:sz="6" w:space="0"/>
            </w:tcBorders>
            <w:shd w:val="clear" w:color="auto" w:fill="FFFFFF"/>
            <w:tcMar>
              <w:top w:w="0" w:type="dxa"/>
              <w:left w:w="105" w:type="dxa"/>
              <w:bottom w:w="0" w:type="dxa"/>
              <w:right w:w="105" w:type="dxa"/>
            </w:tcMar>
            <w:vAlign w:val="center"/>
          </w:tcPr>
          <w:p w14:paraId="26990BEC">
            <w:pPr>
              <w:spacing w:line="600" w:lineRule="exact"/>
              <w:jc w:val="center"/>
              <w:rPr>
                <w:rFonts w:hint="eastAsia" w:asciiTheme="minorEastAsia" w:hAnsiTheme="minorEastAsia" w:eastAsiaTheme="minorEastAsia" w:cstheme="minorEastAsia"/>
                <w:kern w:val="0"/>
                <w:sz w:val="20"/>
                <w:szCs w:val="20"/>
                <w:highlight w:val="none"/>
                <w:lang w:val="en-US" w:eastAsia="zh-CN" w:bidi="ar-SA"/>
              </w:rPr>
            </w:pPr>
          </w:p>
        </w:tc>
        <w:tc>
          <w:tcPr>
            <w:tcW w:w="4981"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tcPr>
          <w:p w14:paraId="76335074">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一般性学术著作</w:t>
            </w:r>
          </w:p>
        </w:tc>
        <w:tc>
          <w:tcPr>
            <w:tcW w:w="1064"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tcPr>
          <w:p w14:paraId="2479CDBB">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6</w:t>
            </w:r>
          </w:p>
        </w:tc>
      </w:tr>
      <w:tr w14:paraId="081996C6">
        <w:tblPrEx>
          <w:shd w:val="clear" w:color="auto" w:fill="FFFFFF"/>
          <w:tblCellMar>
            <w:top w:w="15" w:type="dxa"/>
            <w:left w:w="15" w:type="dxa"/>
            <w:bottom w:w="15" w:type="dxa"/>
            <w:right w:w="15" w:type="dxa"/>
          </w:tblCellMar>
        </w:tblPrEx>
        <w:trPr>
          <w:trHeight w:val="360" w:hRule="atLeast"/>
          <w:jc w:val="center"/>
        </w:trPr>
        <w:tc>
          <w:tcPr>
            <w:tcW w:w="1323" w:type="dxa"/>
            <w:vMerge w:val="continue"/>
            <w:tcBorders>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14:paraId="371224C7">
            <w:pPr>
              <w:spacing w:line="600" w:lineRule="exact"/>
              <w:jc w:val="center"/>
              <w:rPr>
                <w:rFonts w:hint="eastAsia" w:asciiTheme="minorEastAsia" w:hAnsiTheme="minorEastAsia" w:eastAsiaTheme="minorEastAsia" w:cstheme="minorEastAsia"/>
                <w:kern w:val="0"/>
                <w:sz w:val="20"/>
                <w:szCs w:val="20"/>
                <w:highlight w:val="none"/>
                <w:lang w:val="en-US" w:eastAsia="zh-CN" w:bidi="ar-SA"/>
              </w:rPr>
            </w:pPr>
          </w:p>
        </w:tc>
        <w:tc>
          <w:tcPr>
            <w:tcW w:w="4981"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tcPr>
          <w:p w14:paraId="5758AB07">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非教材其他出版物（主编、编译、编写等）</w:t>
            </w:r>
          </w:p>
        </w:tc>
        <w:tc>
          <w:tcPr>
            <w:tcW w:w="1064"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tcPr>
          <w:p w14:paraId="02909320">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3</w:t>
            </w:r>
          </w:p>
        </w:tc>
      </w:tr>
      <w:tr w14:paraId="19BEEB1F">
        <w:tblPrEx>
          <w:shd w:val="clear" w:color="auto" w:fill="FFFFFF"/>
          <w:tblCellMar>
            <w:top w:w="15" w:type="dxa"/>
            <w:left w:w="15" w:type="dxa"/>
            <w:bottom w:w="15" w:type="dxa"/>
            <w:right w:w="15" w:type="dxa"/>
          </w:tblCellMar>
        </w:tblPrEx>
        <w:trPr>
          <w:trHeight w:val="360" w:hRule="atLeast"/>
          <w:jc w:val="center"/>
        </w:trPr>
        <w:tc>
          <w:tcPr>
            <w:tcW w:w="1323" w:type="dxa"/>
            <w:vMerge w:val="continue"/>
            <w:tcBorders>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14:paraId="270BC907">
            <w:pPr>
              <w:spacing w:line="600" w:lineRule="exact"/>
              <w:jc w:val="center"/>
              <w:rPr>
                <w:rFonts w:hint="eastAsia" w:asciiTheme="minorEastAsia" w:hAnsiTheme="minorEastAsia" w:eastAsiaTheme="minorEastAsia" w:cstheme="minorEastAsia"/>
                <w:kern w:val="0"/>
                <w:sz w:val="20"/>
                <w:szCs w:val="20"/>
                <w:highlight w:val="none"/>
                <w:lang w:val="en-US" w:eastAsia="zh-CN" w:bidi="ar-SA"/>
              </w:rPr>
            </w:pPr>
          </w:p>
        </w:tc>
        <w:tc>
          <w:tcPr>
            <w:tcW w:w="4981"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tcPr>
          <w:p w14:paraId="40E1AF77">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其他出版物（教材）</w:t>
            </w:r>
          </w:p>
        </w:tc>
        <w:tc>
          <w:tcPr>
            <w:tcW w:w="1064"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tcPr>
          <w:p w14:paraId="06FF88D8">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2</w:t>
            </w:r>
          </w:p>
        </w:tc>
      </w:tr>
    </w:tbl>
    <w:p w14:paraId="05421ED1">
      <w:pPr>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left"/>
        <w:textAlignment w:val="auto"/>
        <w:rPr>
          <w:rFonts w:hint="eastAsia" w:asciiTheme="minorEastAsia" w:hAnsiTheme="minorEastAsia" w:eastAsiaTheme="minorEastAsia" w:cstheme="minorEastAsia"/>
          <w:kern w:val="0"/>
          <w:sz w:val="20"/>
          <w:szCs w:val="20"/>
          <w:highlight w:val="none"/>
          <w:lang w:val="en-US" w:eastAsia="zh-CN"/>
        </w:rPr>
      </w:pPr>
      <w:r>
        <w:rPr>
          <w:rFonts w:hint="eastAsia" w:asciiTheme="minorEastAsia" w:hAnsiTheme="minorEastAsia" w:eastAsiaTheme="minorEastAsia" w:cstheme="minorEastAsia"/>
          <w:kern w:val="0"/>
          <w:sz w:val="20"/>
          <w:szCs w:val="20"/>
          <w:highlight w:val="none"/>
          <w:lang w:val="en-US" w:eastAsia="zh-CN"/>
        </w:rPr>
        <w:t>说明：</w:t>
      </w:r>
    </w:p>
    <w:p w14:paraId="463F7DF2">
      <w:pPr>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left"/>
        <w:textAlignment w:val="auto"/>
        <w:rPr>
          <w:rFonts w:hint="eastAsia" w:asciiTheme="minorEastAsia" w:hAnsiTheme="minorEastAsia" w:eastAsiaTheme="minorEastAsia" w:cstheme="minorEastAsia"/>
          <w:kern w:val="0"/>
          <w:sz w:val="20"/>
          <w:szCs w:val="20"/>
          <w:highlight w:val="none"/>
          <w:lang w:val="en-US" w:eastAsia="zh-CN"/>
        </w:rPr>
      </w:pPr>
      <w:r>
        <w:rPr>
          <w:rFonts w:hint="eastAsia" w:asciiTheme="minorEastAsia" w:hAnsiTheme="minorEastAsia" w:eastAsiaTheme="minorEastAsia" w:cstheme="minorEastAsia"/>
          <w:kern w:val="0"/>
          <w:sz w:val="20"/>
          <w:szCs w:val="20"/>
          <w:highlight w:val="none"/>
          <w:lang w:val="en-US" w:eastAsia="zh-CN"/>
        </w:rPr>
        <w:t>1.著作类成果的具体登记范围、认定细则参见《上海海事大学科技工作量计算办法》（沪海大科〔2025〕135号）；研究生工作量由导师按照实际情况进行分配，个人完成字数不足5万字，或有其他异议，由各学位评定分委员会裁定。</w:t>
      </w:r>
    </w:p>
    <w:p w14:paraId="312417FE">
      <w:pPr>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left"/>
        <w:textAlignment w:val="auto"/>
        <w:rPr>
          <w:rFonts w:hint="eastAsia" w:asciiTheme="minorEastAsia" w:hAnsiTheme="minorEastAsia" w:eastAsiaTheme="minorEastAsia" w:cstheme="minorEastAsia"/>
          <w:kern w:val="0"/>
          <w:sz w:val="20"/>
          <w:szCs w:val="20"/>
          <w:highlight w:val="none"/>
          <w:lang w:val="en-US" w:eastAsia="zh-CN"/>
        </w:rPr>
      </w:pPr>
      <w:r>
        <w:rPr>
          <w:rFonts w:hint="eastAsia" w:asciiTheme="minorEastAsia" w:hAnsiTheme="minorEastAsia" w:eastAsiaTheme="minorEastAsia" w:cstheme="minorEastAsia"/>
          <w:kern w:val="0"/>
          <w:sz w:val="20"/>
          <w:szCs w:val="20"/>
          <w:highlight w:val="none"/>
          <w:lang w:val="en-US" w:eastAsia="zh-CN"/>
        </w:rPr>
        <w:t>2.须提供出版物封面、目录复印件等相关证明材料。</w:t>
      </w:r>
    </w:p>
    <w:p w14:paraId="3FA75135">
      <w:pPr>
        <w:pStyle w:val="5"/>
        <w:widowControl/>
        <w:shd w:val="clear" w:color="auto" w:fill="FFFFFF"/>
        <w:spacing w:beforeAutospacing="0" w:afterAutospacing="0" w:line="600" w:lineRule="exact"/>
        <w:jc w:val="both"/>
        <w:rPr>
          <w:rFonts w:hint="eastAsia" w:asciiTheme="minorEastAsia" w:hAnsiTheme="minorEastAsia" w:eastAsiaTheme="minorEastAsia" w:cstheme="minorEastAsia"/>
          <w:b/>
          <w:bCs/>
          <w:kern w:val="0"/>
          <w:sz w:val="20"/>
          <w:szCs w:val="20"/>
          <w:highlight w:val="none"/>
          <w:lang w:val="en-US" w:eastAsia="zh-CN" w:bidi="ar-SA"/>
        </w:rPr>
      </w:pPr>
      <w:r>
        <w:rPr>
          <w:rFonts w:hint="eastAsia" w:asciiTheme="minorEastAsia" w:hAnsiTheme="minorEastAsia" w:eastAsiaTheme="minorEastAsia" w:cstheme="minorEastAsia"/>
          <w:b/>
          <w:bCs/>
          <w:kern w:val="0"/>
          <w:sz w:val="20"/>
          <w:szCs w:val="20"/>
          <w:highlight w:val="none"/>
          <w:lang w:val="en-US" w:eastAsia="zh-CN" w:bidi="ar-SA"/>
        </w:rPr>
        <w:t>（4）竞赛获奖计分标准（单位：分/项）</w:t>
      </w:r>
    </w:p>
    <w:tbl>
      <w:tblPr>
        <w:tblStyle w:val="6"/>
        <w:tblW w:w="8578" w:type="dxa"/>
        <w:jc w:val="center"/>
        <w:shd w:val="clear" w:color="auto" w:fill="FFFFFF"/>
        <w:tblLayout w:type="autofit"/>
        <w:tblCellMar>
          <w:top w:w="15" w:type="dxa"/>
          <w:left w:w="15" w:type="dxa"/>
          <w:bottom w:w="15" w:type="dxa"/>
          <w:right w:w="15" w:type="dxa"/>
        </w:tblCellMar>
      </w:tblPr>
      <w:tblGrid>
        <w:gridCol w:w="2945"/>
        <w:gridCol w:w="1011"/>
        <w:gridCol w:w="1833"/>
        <w:gridCol w:w="916"/>
        <w:gridCol w:w="943"/>
        <w:gridCol w:w="930"/>
      </w:tblGrid>
      <w:tr w14:paraId="1498BDB7">
        <w:tblPrEx>
          <w:tblCellMar>
            <w:top w:w="15" w:type="dxa"/>
            <w:left w:w="15" w:type="dxa"/>
            <w:bottom w:w="15" w:type="dxa"/>
            <w:right w:w="15" w:type="dxa"/>
          </w:tblCellMar>
        </w:tblPrEx>
        <w:trPr>
          <w:trHeight w:val="286" w:hRule="atLeast"/>
          <w:jc w:val="center"/>
        </w:trPr>
        <w:tc>
          <w:tcPr>
            <w:tcW w:w="3990" w:type="dxa"/>
            <w:gridSpan w:val="2"/>
            <w:tcBorders>
              <w:top w:val="single" w:color="000000" w:sz="6" w:space="0"/>
              <w:left w:val="single" w:color="000000" w:sz="6" w:space="0"/>
              <w:bottom w:val="single" w:color="000000" w:sz="6" w:space="0"/>
              <w:right w:val="single" w:color="000000" w:sz="6" w:space="0"/>
            </w:tcBorders>
            <w:shd w:val="clear" w:color="auto" w:fill="FFFFFF"/>
            <w:tcMar>
              <w:top w:w="0" w:type="dxa"/>
              <w:left w:w="105" w:type="dxa"/>
              <w:bottom w:w="0" w:type="dxa"/>
              <w:right w:w="105" w:type="dxa"/>
            </w:tcMar>
          </w:tcPr>
          <w:p w14:paraId="052AE58B">
            <w:pPr>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left"/>
              <w:textAlignment w:val="auto"/>
              <w:rPr>
                <w:rFonts w:hint="eastAsia" w:asciiTheme="minorEastAsia" w:hAnsiTheme="minorEastAsia" w:eastAsiaTheme="minorEastAsia" w:cstheme="minorEastAsia"/>
                <w:kern w:val="0"/>
                <w:sz w:val="20"/>
                <w:szCs w:val="20"/>
                <w:highlight w:val="none"/>
                <w:lang w:val="en-US" w:eastAsia="zh-CN"/>
              </w:rPr>
            </w:pPr>
            <w:r>
              <w:rPr>
                <w:rFonts w:hint="eastAsia" w:asciiTheme="minorEastAsia" w:hAnsiTheme="minorEastAsia" w:eastAsiaTheme="minorEastAsia" w:cstheme="minorEastAsia"/>
                <w:kern w:val="0"/>
                <w:sz w:val="20"/>
                <w:szCs w:val="20"/>
                <w:highlight w:val="none"/>
                <w:lang w:val="en-US" w:eastAsia="zh-CN"/>
              </w:rPr>
              <w:t>竞赛种类</w:t>
            </w:r>
          </w:p>
        </w:tc>
        <w:tc>
          <w:tcPr>
            <w:tcW w:w="1845" w:type="dxa"/>
            <w:tcBorders>
              <w:top w:val="single" w:color="000000" w:sz="6" w:space="0"/>
              <w:left w:val="nil"/>
              <w:bottom w:val="single" w:color="000000" w:sz="6" w:space="0"/>
              <w:right w:val="single" w:color="000000" w:sz="6" w:space="0"/>
            </w:tcBorders>
            <w:shd w:val="clear" w:color="auto" w:fill="FFFFFF"/>
            <w:tcMar>
              <w:top w:w="0" w:type="dxa"/>
              <w:left w:w="105" w:type="dxa"/>
              <w:bottom w:w="0" w:type="dxa"/>
              <w:right w:w="105" w:type="dxa"/>
            </w:tcMar>
          </w:tcPr>
          <w:p w14:paraId="53324849">
            <w:pPr>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left"/>
              <w:textAlignment w:val="auto"/>
              <w:rPr>
                <w:rFonts w:hint="eastAsia" w:asciiTheme="minorEastAsia" w:hAnsiTheme="minorEastAsia" w:eastAsiaTheme="minorEastAsia" w:cstheme="minorEastAsia"/>
                <w:kern w:val="0"/>
                <w:sz w:val="20"/>
                <w:szCs w:val="20"/>
                <w:highlight w:val="none"/>
                <w:lang w:val="en-US" w:eastAsia="zh-CN"/>
              </w:rPr>
            </w:pPr>
            <w:r>
              <w:rPr>
                <w:rFonts w:hint="eastAsia" w:asciiTheme="minorEastAsia" w:hAnsiTheme="minorEastAsia" w:eastAsiaTheme="minorEastAsia" w:cstheme="minorEastAsia"/>
                <w:kern w:val="0"/>
                <w:sz w:val="20"/>
                <w:szCs w:val="20"/>
                <w:highlight w:val="none"/>
                <w:lang w:val="en-US" w:eastAsia="zh-CN"/>
              </w:rPr>
              <w:t>成果等级</w:t>
            </w:r>
          </w:p>
        </w:tc>
        <w:tc>
          <w:tcPr>
            <w:tcW w:w="918" w:type="dxa"/>
            <w:tcBorders>
              <w:top w:val="single" w:color="000000" w:sz="6" w:space="0"/>
              <w:left w:val="nil"/>
              <w:bottom w:val="single" w:color="000000" w:sz="6" w:space="0"/>
              <w:right w:val="single" w:color="000000" w:sz="6" w:space="0"/>
            </w:tcBorders>
            <w:shd w:val="clear" w:color="auto" w:fill="FFFFFF"/>
            <w:tcMar>
              <w:top w:w="0" w:type="dxa"/>
              <w:left w:w="105" w:type="dxa"/>
              <w:bottom w:w="0" w:type="dxa"/>
              <w:right w:w="105" w:type="dxa"/>
            </w:tcMar>
          </w:tcPr>
          <w:p w14:paraId="2A26272C">
            <w:pPr>
              <w:keepNext w:val="0"/>
              <w:keepLines w:val="0"/>
              <w:pageBreakBefore w:val="0"/>
              <w:widowControl/>
              <w:kinsoku/>
              <w:wordWrap/>
              <w:overflowPunct/>
              <w:topLinePunct w:val="0"/>
              <w:autoSpaceDE/>
              <w:autoSpaceDN/>
              <w:bidi w:val="0"/>
              <w:adjustRightInd/>
              <w:snapToGrid/>
              <w:spacing w:line="300" w:lineRule="auto"/>
              <w:jc w:val="left"/>
              <w:textAlignment w:val="auto"/>
              <w:rPr>
                <w:rFonts w:hint="eastAsia" w:asciiTheme="minorEastAsia" w:hAnsiTheme="minorEastAsia" w:eastAsiaTheme="minorEastAsia" w:cstheme="minorEastAsia"/>
                <w:kern w:val="0"/>
                <w:sz w:val="20"/>
                <w:szCs w:val="20"/>
                <w:highlight w:val="none"/>
                <w:lang w:val="en-US" w:eastAsia="zh-CN"/>
              </w:rPr>
            </w:pPr>
            <w:r>
              <w:rPr>
                <w:rFonts w:hint="eastAsia" w:asciiTheme="minorEastAsia" w:hAnsiTheme="minorEastAsia" w:eastAsiaTheme="minorEastAsia" w:cstheme="minorEastAsia"/>
                <w:kern w:val="0"/>
                <w:sz w:val="20"/>
                <w:szCs w:val="20"/>
                <w:highlight w:val="none"/>
                <w:lang w:val="en-US" w:eastAsia="zh-CN"/>
              </w:rPr>
              <w:t>排名1</w:t>
            </w:r>
          </w:p>
        </w:tc>
        <w:tc>
          <w:tcPr>
            <w:tcW w:w="943" w:type="dxa"/>
            <w:tcBorders>
              <w:top w:val="single" w:color="000000" w:sz="6" w:space="0"/>
              <w:left w:val="nil"/>
              <w:bottom w:val="single" w:color="000000" w:sz="6" w:space="0"/>
              <w:right w:val="single" w:color="000000" w:sz="6" w:space="0"/>
            </w:tcBorders>
            <w:shd w:val="clear" w:color="auto" w:fill="FFFFFF"/>
            <w:tcMar>
              <w:top w:w="0" w:type="dxa"/>
              <w:left w:w="105" w:type="dxa"/>
              <w:bottom w:w="0" w:type="dxa"/>
              <w:right w:w="105" w:type="dxa"/>
            </w:tcMar>
          </w:tcPr>
          <w:p w14:paraId="5B589A89">
            <w:pPr>
              <w:keepNext w:val="0"/>
              <w:keepLines w:val="0"/>
              <w:pageBreakBefore w:val="0"/>
              <w:widowControl/>
              <w:kinsoku/>
              <w:wordWrap/>
              <w:overflowPunct/>
              <w:topLinePunct w:val="0"/>
              <w:autoSpaceDE/>
              <w:autoSpaceDN/>
              <w:bidi w:val="0"/>
              <w:adjustRightInd/>
              <w:snapToGrid/>
              <w:spacing w:line="300" w:lineRule="auto"/>
              <w:jc w:val="left"/>
              <w:textAlignment w:val="auto"/>
              <w:rPr>
                <w:rFonts w:hint="eastAsia" w:asciiTheme="minorEastAsia" w:hAnsiTheme="minorEastAsia" w:eastAsiaTheme="minorEastAsia" w:cstheme="minorEastAsia"/>
                <w:kern w:val="0"/>
                <w:sz w:val="20"/>
                <w:szCs w:val="20"/>
                <w:highlight w:val="none"/>
                <w:lang w:val="en-US" w:eastAsia="zh-CN"/>
              </w:rPr>
            </w:pPr>
            <w:r>
              <w:rPr>
                <w:rFonts w:hint="eastAsia" w:asciiTheme="minorEastAsia" w:hAnsiTheme="minorEastAsia" w:eastAsiaTheme="minorEastAsia" w:cstheme="minorEastAsia"/>
                <w:kern w:val="0"/>
                <w:sz w:val="20"/>
                <w:szCs w:val="20"/>
                <w:highlight w:val="none"/>
                <w:lang w:val="en-US" w:eastAsia="zh-CN"/>
              </w:rPr>
              <w:t>排名2</w:t>
            </w:r>
          </w:p>
        </w:tc>
        <w:tc>
          <w:tcPr>
            <w:tcW w:w="882" w:type="dxa"/>
            <w:tcBorders>
              <w:top w:val="single" w:color="000000" w:sz="6" w:space="0"/>
              <w:left w:val="nil"/>
              <w:bottom w:val="single" w:color="000000" w:sz="6" w:space="0"/>
              <w:right w:val="single" w:color="000000" w:sz="6" w:space="0"/>
            </w:tcBorders>
            <w:shd w:val="clear" w:color="auto" w:fill="FFFFFF"/>
            <w:tcMar>
              <w:top w:w="0" w:type="dxa"/>
              <w:left w:w="105" w:type="dxa"/>
              <w:bottom w:w="0" w:type="dxa"/>
              <w:right w:w="105" w:type="dxa"/>
            </w:tcMar>
          </w:tcPr>
          <w:p w14:paraId="679785D1">
            <w:pPr>
              <w:keepNext w:val="0"/>
              <w:keepLines w:val="0"/>
              <w:pageBreakBefore w:val="0"/>
              <w:widowControl/>
              <w:kinsoku/>
              <w:wordWrap/>
              <w:overflowPunct/>
              <w:topLinePunct w:val="0"/>
              <w:autoSpaceDE/>
              <w:autoSpaceDN/>
              <w:bidi w:val="0"/>
              <w:adjustRightInd/>
              <w:snapToGrid/>
              <w:spacing w:line="300" w:lineRule="auto"/>
              <w:jc w:val="left"/>
              <w:textAlignment w:val="auto"/>
              <w:rPr>
                <w:rFonts w:hint="eastAsia" w:asciiTheme="minorEastAsia" w:hAnsiTheme="minorEastAsia" w:eastAsiaTheme="minorEastAsia" w:cstheme="minorEastAsia"/>
                <w:kern w:val="0"/>
                <w:sz w:val="20"/>
                <w:szCs w:val="20"/>
                <w:highlight w:val="none"/>
                <w:lang w:val="en-US" w:eastAsia="zh-CN"/>
              </w:rPr>
            </w:pPr>
            <w:r>
              <w:rPr>
                <w:rFonts w:hint="eastAsia" w:asciiTheme="minorEastAsia" w:hAnsiTheme="minorEastAsia" w:eastAsiaTheme="minorEastAsia" w:cstheme="minorEastAsia"/>
                <w:kern w:val="0"/>
                <w:sz w:val="20"/>
                <w:szCs w:val="20"/>
                <w:highlight w:val="none"/>
                <w:lang w:val="en-US" w:eastAsia="zh-CN"/>
              </w:rPr>
              <w:t>排名3</w:t>
            </w:r>
          </w:p>
        </w:tc>
      </w:tr>
      <w:tr w14:paraId="3CA40026">
        <w:tblPrEx>
          <w:tblCellMar>
            <w:top w:w="15" w:type="dxa"/>
            <w:left w:w="15" w:type="dxa"/>
            <w:bottom w:w="15" w:type="dxa"/>
            <w:right w:w="15" w:type="dxa"/>
          </w:tblCellMar>
        </w:tblPrEx>
        <w:trPr>
          <w:jc w:val="center"/>
        </w:trPr>
        <w:tc>
          <w:tcPr>
            <w:tcW w:w="2972" w:type="dxa"/>
            <w:vMerge w:val="restart"/>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14:paraId="7A9F0734">
            <w:pPr>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left"/>
              <w:textAlignment w:val="auto"/>
              <w:rPr>
                <w:rFonts w:hint="eastAsia" w:asciiTheme="minorEastAsia" w:hAnsiTheme="minorEastAsia" w:eastAsiaTheme="minorEastAsia" w:cstheme="minorEastAsia"/>
                <w:kern w:val="0"/>
                <w:sz w:val="20"/>
                <w:szCs w:val="20"/>
                <w:highlight w:val="none"/>
                <w:lang w:val="en-US" w:eastAsia="zh-CN"/>
              </w:rPr>
            </w:pPr>
            <w:r>
              <w:rPr>
                <w:rFonts w:hint="eastAsia" w:asciiTheme="minorEastAsia" w:hAnsiTheme="minorEastAsia" w:eastAsiaTheme="minorEastAsia" w:cstheme="minorEastAsia"/>
                <w:kern w:val="0"/>
                <w:sz w:val="20"/>
                <w:szCs w:val="20"/>
                <w:highlight w:val="none"/>
                <w:lang w:val="en-US" w:eastAsia="zh-CN"/>
              </w:rPr>
              <w:t>教育部学位与研究生教育发展中心认定的竞赛、上海市认定的参与毕业生进沪就业打分的竞赛</w:t>
            </w:r>
          </w:p>
        </w:tc>
        <w:tc>
          <w:tcPr>
            <w:tcW w:w="1018" w:type="dxa"/>
            <w:vMerge w:val="restart"/>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14:paraId="69D8C59F">
            <w:pPr>
              <w:keepNext w:val="0"/>
              <w:keepLines w:val="0"/>
              <w:pageBreakBefore w:val="0"/>
              <w:widowControl/>
              <w:kinsoku/>
              <w:wordWrap/>
              <w:overflowPunct/>
              <w:topLinePunct w:val="0"/>
              <w:autoSpaceDE/>
              <w:autoSpaceDN/>
              <w:bidi w:val="0"/>
              <w:adjustRightInd/>
              <w:snapToGrid/>
              <w:spacing w:line="300" w:lineRule="auto"/>
              <w:jc w:val="left"/>
              <w:textAlignment w:val="auto"/>
              <w:rPr>
                <w:rFonts w:hint="eastAsia" w:asciiTheme="minorEastAsia" w:hAnsiTheme="minorEastAsia" w:eastAsiaTheme="minorEastAsia" w:cstheme="minorEastAsia"/>
                <w:kern w:val="0"/>
                <w:sz w:val="20"/>
                <w:szCs w:val="20"/>
                <w:highlight w:val="none"/>
                <w:lang w:val="en-US" w:eastAsia="zh-CN"/>
              </w:rPr>
            </w:pPr>
            <w:r>
              <w:rPr>
                <w:rFonts w:hint="eastAsia" w:asciiTheme="minorEastAsia" w:hAnsiTheme="minorEastAsia" w:eastAsiaTheme="minorEastAsia" w:cstheme="minorEastAsia"/>
                <w:kern w:val="0"/>
                <w:sz w:val="20"/>
                <w:szCs w:val="20"/>
                <w:highlight w:val="none"/>
                <w:lang w:val="en-US" w:eastAsia="zh-CN"/>
              </w:rPr>
              <w:t>国家赛</w:t>
            </w:r>
          </w:p>
        </w:tc>
        <w:tc>
          <w:tcPr>
            <w:tcW w:w="1845"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tcPr>
          <w:p w14:paraId="3A6F1CFD">
            <w:pPr>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left"/>
              <w:textAlignment w:val="auto"/>
              <w:rPr>
                <w:rFonts w:hint="eastAsia" w:asciiTheme="minorEastAsia" w:hAnsiTheme="minorEastAsia" w:eastAsiaTheme="minorEastAsia" w:cstheme="minorEastAsia"/>
                <w:kern w:val="0"/>
                <w:sz w:val="20"/>
                <w:szCs w:val="20"/>
                <w:highlight w:val="none"/>
                <w:lang w:val="en-US" w:eastAsia="zh-CN"/>
              </w:rPr>
            </w:pPr>
            <w:r>
              <w:rPr>
                <w:rFonts w:hint="eastAsia" w:asciiTheme="minorEastAsia" w:hAnsiTheme="minorEastAsia" w:eastAsiaTheme="minorEastAsia" w:cstheme="minorEastAsia"/>
                <w:kern w:val="0"/>
                <w:sz w:val="20"/>
                <w:szCs w:val="20"/>
                <w:highlight w:val="none"/>
                <w:lang w:val="en-US" w:eastAsia="zh-CN"/>
              </w:rPr>
              <w:t>一等奖及以上</w:t>
            </w:r>
          </w:p>
        </w:tc>
        <w:tc>
          <w:tcPr>
            <w:tcW w:w="918"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tcPr>
          <w:p w14:paraId="5324248C">
            <w:pPr>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left"/>
              <w:textAlignment w:val="auto"/>
              <w:rPr>
                <w:rFonts w:hint="eastAsia" w:asciiTheme="minorEastAsia" w:hAnsiTheme="minorEastAsia" w:eastAsiaTheme="minorEastAsia" w:cstheme="minorEastAsia"/>
                <w:kern w:val="0"/>
                <w:sz w:val="20"/>
                <w:szCs w:val="20"/>
                <w:highlight w:val="none"/>
                <w:lang w:val="en-US" w:eastAsia="zh-CN"/>
              </w:rPr>
            </w:pPr>
            <w:r>
              <w:rPr>
                <w:rFonts w:hint="eastAsia" w:asciiTheme="minorEastAsia" w:hAnsiTheme="minorEastAsia" w:eastAsiaTheme="minorEastAsia" w:cstheme="minorEastAsia"/>
                <w:kern w:val="0"/>
                <w:sz w:val="20"/>
                <w:szCs w:val="20"/>
                <w:highlight w:val="none"/>
                <w:lang w:val="en-US" w:eastAsia="zh-CN"/>
              </w:rPr>
              <w:t>6</w:t>
            </w:r>
          </w:p>
        </w:tc>
        <w:tc>
          <w:tcPr>
            <w:tcW w:w="943"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14:paraId="144B2DDD">
            <w:pPr>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left"/>
              <w:textAlignment w:val="auto"/>
              <w:rPr>
                <w:rFonts w:hint="eastAsia" w:asciiTheme="minorEastAsia" w:hAnsiTheme="minorEastAsia" w:eastAsiaTheme="minorEastAsia" w:cstheme="minorEastAsia"/>
                <w:kern w:val="0"/>
                <w:sz w:val="20"/>
                <w:szCs w:val="20"/>
                <w:highlight w:val="none"/>
                <w:lang w:val="en-US" w:eastAsia="zh-CN"/>
              </w:rPr>
            </w:pPr>
            <w:r>
              <w:rPr>
                <w:rFonts w:hint="eastAsia" w:asciiTheme="minorEastAsia" w:hAnsiTheme="minorEastAsia" w:eastAsiaTheme="minorEastAsia" w:cstheme="minorEastAsia"/>
                <w:kern w:val="0"/>
                <w:sz w:val="20"/>
                <w:szCs w:val="20"/>
                <w:highlight w:val="none"/>
                <w:lang w:val="en-US" w:eastAsia="zh-CN"/>
              </w:rPr>
              <w:t>4.2</w:t>
            </w:r>
          </w:p>
        </w:tc>
        <w:tc>
          <w:tcPr>
            <w:tcW w:w="882"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14:paraId="0CE60279">
            <w:pPr>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left"/>
              <w:textAlignment w:val="auto"/>
              <w:rPr>
                <w:rFonts w:hint="eastAsia" w:asciiTheme="minorEastAsia" w:hAnsiTheme="minorEastAsia" w:eastAsiaTheme="minorEastAsia" w:cstheme="minorEastAsia"/>
                <w:kern w:val="0"/>
                <w:sz w:val="20"/>
                <w:szCs w:val="20"/>
                <w:highlight w:val="none"/>
                <w:lang w:val="en-US" w:eastAsia="zh-CN"/>
              </w:rPr>
            </w:pPr>
            <w:r>
              <w:rPr>
                <w:rFonts w:hint="eastAsia" w:asciiTheme="minorEastAsia" w:hAnsiTheme="minorEastAsia" w:eastAsiaTheme="minorEastAsia" w:cstheme="minorEastAsia"/>
                <w:kern w:val="0"/>
                <w:sz w:val="20"/>
                <w:szCs w:val="20"/>
                <w:highlight w:val="none"/>
                <w:lang w:val="en-US" w:eastAsia="zh-CN"/>
              </w:rPr>
              <w:t>3</w:t>
            </w:r>
          </w:p>
        </w:tc>
      </w:tr>
      <w:tr w14:paraId="49C4F920">
        <w:tblPrEx>
          <w:tblCellMar>
            <w:top w:w="15" w:type="dxa"/>
            <w:left w:w="15" w:type="dxa"/>
            <w:bottom w:w="15" w:type="dxa"/>
            <w:right w:w="15" w:type="dxa"/>
          </w:tblCellMar>
        </w:tblPrEx>
        <w:trPr>
          <w:jc w:val="center"/>
        </w:trPr>
        <w:tc>
          <w:tcPr>
            <w:tcW w:w="2972" w:type="dxa"/>
            <w:vMerge w:val="continue"/>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14:paraId="34D126CD">
            <w:pPr>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left"/>
              <w:textAlignment w:val="auto"/>
              <w:rPr>
                <w:rFonts w:hint="eastAsia" w:asciiTheme="minorEastAsia" w:hAnsiTheme="minorEastAsia" w:eastAsiaTheme="minorEastAsia" w:cstheme="minorEastAsia"/>
                <w:kern w:val="0"/>
                <w:sz w:val="20"/>
                <w:szCs w:val="20"/>
                <w:highlight w:val="none"/>
                <w:lang w:val="en-US" w:eastAsia="zh-CN"/>
              </w:rPr>
            </w:pPr>
          </w:p>
        </w:tc>
        <w:tc>
          <w:tcPr>
            <w:tcW w:w="1018" w:type="dxa"/>
            <w:vMerge w:val="continue"/>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14:paraId="3DFCFF2E">
            <w:pPr>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left"/>
              <w:textAlignment w:val="auto"/>
              <w:rPr>
                <w:rFonts w:hint="eastAsia" w:asciiTheme="minorEastAsia" w:hAnsiTheme="minorEastAsia" w:eastAsiaTheme="minorEastAsia" w:cstheme="minorEastAsia"/>
                <w:kern w:val="0"/>
                <w:sz w:val="20"/>
                <w:szCs w:val="20"/>
                <w:highlight w:val="none"/>
                <w:lang w:val="en-US" w:eastAsia="zh-CN"/>
              </w:rPr>
            </w:pPr>
          </w:p>
        </w:tc>
        <w:tc>
          <w:tcPr>
            <w:tcW w:w="1845"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tcPr>
          <w:p w14:paraId="0C8746B4">
            <w:pPr>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left"/>
              <w:textAlignment w:val="auto"/>
              <w:rPr>
                <w:rFonts w:hint="eastAsia" w:asciiTheme="minorEastAsia" w:hAnsiTheme="minorEastAsia" w:eastAsiaTheme="minorEastAsia" w:cstheme="minorEastAsia"/>
                <w:kern w:val="0"/>
                <w:sz w:val="20"/>
                <w:szCs w:val="20"/>
                <w:highlight w:val="none"/>
                <w:lang w:val="en-US" w:eastAsia="zh-CN"/>
              </w:rPr>
            </w:pPr>
            <w:r>
              <w:rPr>
                <w:rFonts w:hint="eastAsia" w:asciiTheme="minorEastAsia" w:hAnsiTheme="minorEastAsia" w:eastAsiaTheme="minorEastAsia" w:cstheme="minorEastAsia"/>
                <w:kern w:val="0"/>
                <w:sz w:val="20"/>
                <w:szCs w:val="20"/>
                <w:highlight w:val="none"/>
                <w:lang w:val="en-US" w:eastAsia="zh-CN"/>
              </w:rPr>
              <w:t>二等奖</w:t>
            </w:r>
          </w:p>
        </w:tc>
        <w:tc>
          <w:tcPr>
            <w:tcW w:w="918"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tcPr>
          <w:p w14:paraId="5EFC6FC7">
            <w:pPr>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left"/>
              <w:textAlignment w:val="auto"/>
              <w:rPr>
                <w:rFonts w:hint="eastAsia" w:asciiTheme="minorEastAsia" w:hAnsiTheme="minorEastAsia" w:eastAsiaTheme="minorEastAsia" w:cstheme="minorEastAsia"/>
                <w:kern w:val="0"/>
                <w:sz w:val="20"/>
                <w:szCs w:val="20"/>
                <w:highlight w:val="none"/>
                <w:lang w:val="en-US" w:eastAsia="zh-CN"/>
              </w:rPr>
            </w:pPr>
            <w:r>
              <w:rPr>
                <w:rFonts w:hint="eastAsia" w:asciiTheme="minorEastAsia" w:hAnsiTheme="minorEastAsia" w:eastAsiaTheme="minorEastAsia" w:cstheme="minorEastAsia"/>
                <w:kern w:val="0"/>
                <w:sz w:val="20"/>
                <w:szCs w:val="20"/>
                <w:highlight w:val="none"/>
                <w:lang w:val="en-US" w:eastAsia="zh-CN"/>
              </w:rPr>
              <w:t>4</w:t>
            </w:r>
          </w:p>
        </w:tc>
        <w:tc>
          <w:tcPr>
            <w:tcW w:w="943"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tcPr>
          <w:p w14:paraId="5B27D265">
            <w:pPr>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left"/>
              <w:textAlignment w:val="auto"/>
              <w:rPr>
                <w:rFonts w:hint="eastAsia" w:asciiTheme="minorEastAsia" w:hAnsiTheme="minorEastAsia" w:eastAsiaTheme="minorEastAsia" w:cstheme="minorEastAsia"/>
                <w:kern w:val="0"/>
                <w:sz w:val="20"/>
                <w:szCs w:val="20"/>
                <w:highlight w:val="none"/>
                <w:lang w:val="en-US" w:eastAsia="zh-CN"/>
              </w:rPr>
            </w:pPr>
            <w:r>
              <w:rPr>
                <w:rFonts w:hint="eastAsia" w:asciiTheme="minorEastAsia" w:hAnsiTheme="minorEastAsia" w:eastAsiaTheme="minorEastAsia" w:cstheme="minorEastAsia"/>
                <w:kern w:val="0"/>
                <w:sz w:val="20"/>
                <w:szCs w:val="20"/>
                <w:highlight w:val="none"/>
                <w:lang w:val="en-US" w:eastAsia="zh-CN"/>
              </w:rPr>
              <w:t>2.8</w:t>
            </w:r>
          </w:p>
        </w:tc>
        <w:tc>
          <w:tcPr>
            <w:tcW w:w="882"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tcPr>
          <w:p w14:paraId="7ADA02F1">
            <w:pPr>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left"/>
              <w:textAlignment w:val="auto"/>
              <w:rPr>
                <w:rFonts w:hint="eastAsia" w:asciiTheme="minorEastAsia" w:hAnsiTheme="minorEastAsia" w:eastAsiaTheme="minorEastAsia" w:cstheme="minorEastAsia"/>
                <w:kern w:val="0"/>
                <w:sz w:val="20"/>
                <w:szCs w:val="20"/>
                <w:highlight w:val="none"/>
                <w:lang w:val="en-US" w:eastAsia="zh-CN"/>
              </w:rPr>
            </w:pPr>
            <w:r>
              <w:rPr>
                <w:rFonts w:hint="eastAsia" w:asciiTheme="minorEastAsia" w:hAnsiTheme="minorEastAsia" w:eastAsiaTheme="minorEastAsia" w:cstheme="minorEastAsia"/>
                <w:kern w:val="0"/>
                <w:sz w:val="20"/>
                <w:szCs w:val="20"/>
                <w:highlight w:val="none"/>
                <w:lang w:val="en-US" w:eastAsia="zh-CN"/>
              </w:rPr>
              <w:t>2</w:t>
            </w:r>
          </w:p>
        </w:tc>
      </w:tr>
      <w:tr w14:paraId="02C68BBE">
        <w:tblPrEx>
          <w:shd w:val="clear" w:color="auto" w:fill="FFFFFF"/>
          <w:tblCellMar>
            <w:top w:w="15" w:type="dxa"/>
            <w:left w:w="15" w:type="dxa"/>
            <w:bottom w:w="15" w:type="dxa"/>
            <w:right w:w="15" w:type="dxa"/>
          </w:tblCellMar>
        </w:tblPrEx>
        <w:trPr>
          <w:jc w:val="center"/>
        </w:trPr>
        <w:tc>
          <w:tcPr>
            <w:tcW w:w="2972" w:type="dxa"/>
            <w:vMerge w:val="continue"/>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14:paraId="7FA27834">
            <w:pPr>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left"/>
              <w:textAlignment w:val="auto"/>
              <w:rPr>
                <w:rFonts w:hint="eastAsia" w:asciiTheme="minorEastAsia" w:hAnsiTheme="minorEastAsia" w:eastAsiaTheme="minorEastAsia" w:cstheme="minorEastAsia"/>
                <w:kern w:val="0"/>
                <w:sz w:val="20"/>
                <w:szCs w:val="20"/>
                <w:highlight w:val="none"/>
                <w:lang w:val="en-US" w:eastAsia="zh-CN"/>
              </w:rPr>
            </w:pPr>
          </w:p>
        </w:tc>
        <w:tc>
          <w:tcPr>
            <w:tcW w:w="1018" w:type="dxa"/>
            <w:vMerge w:val="continue"/>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14:paraId="109C03F3">
            <w:pPr>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left"/>
              <w:textAlignment w:val="auto"/>
              <w:rPr>
                <w:rFonts w:hint="eastAsia" w:asciiTheme="minorEastAsia" w:hAnsiTheme="minorEastAsia" w:eastAsiaTheme="minorEastAsia" w:cstheme="minorEastAsia"/>
                <w:kern w:val="0"/>
                <w:sz w:val="20"/>
                <w:szCs w:val="20"/>
                <w:highlight w:val="none"/>
                <w:lang w:val="en-US" w:eastAsia="zh-CN"/>
              </w:rPr>
            </w:pPr>
          </w:p>
        </w:tc>
        <w:tc>
          <w:tcPr>
            <w:tcW w:w="1845"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tcPr>
          <w:p w14:paraId="27825812">
            <w:pPr>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left"/>
              <w:textAlignment w:val="auto"/>
              <w:rPr>
                <w:rFonts w:hint="eastAsia" w:asciiTheme="minorEastAsia" w:hAnsiTheme="minorEastAsia" w:eastAsiaTheme="minorEastAsia" w:cstheme="minorEastAsia"/>
                <w:kern w:val="0"/>
                <w:sz w:val="20"/>
                <w:szCs w:val="20"/>
                <w:highlight w:val="none"/>
                <w:lang w:val="en-US" w:eastAsia="zh-CN"/>
              </w:rPr>
            </w:pPr>
            <w:r>
              <w:rPr>
                <w:rFonts w:hint="eastAsia" w:asciiTheme="minorEastAsia" w:hAnsiTheme="minorEastAsia" w:eastAsiaTheme="minorEastAsia" w:cstheme="minorEastAsia"/>
                <w:kern w:val="0"/>
                <w:sz w:val="20"/>
                <w:szCs w:val="20"/>
                <w:highlight w:val="none"/>
                <w:lang w:val="en-US" w:eastAsia="zh-CN"/>
              </w:rPr>
              <w:t>三等奖</w:t>
            </w:r>
          </w:p>
        </w:tc>
        <w:tc>
          <w:tcPr>
            <w:tcW w:w="918"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tcPr>
          <w:p w14:paraId="2F928C6D">
            <w:pPr>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left"/>
              <w:textAlignment w:val="auto"/>
              <w:rPr>
                <w:rFonts w:hint="eastAsia" w:asciiTheme="minorEastAsia" w:hAnsiTheme="minorEastAsia" w:eastAsiaTheme="minorEastAsia" w:cstheme="minorEastAsia"/>
                <w:kern w:val="0"/>
                <w:sz w:val="20"/>
                <w:szCs w:val="20"/>
                <w:highlight w:val="none"/>
                <w:lang w:val="en-US" w:eastAsia="zh-CN"/>
              </w:rPr>
            </w:pPr>
            <w:r>
              <w:rPr>
                <w:rFonts w:hint="eastAsia" w:asciiTheme="minorEastAsia" w:hAnsiTheme="minorEastAsia" w:eastAsiaTheme="minorEastAsia" w:cstheme="minorEastAsia"/>
                <w:kern w:val="0"/>
                <w:sz w:val="20"/>
                <w:szCs w:val="20"/>
                <w:highlight w:val="none"/>
                <w:lang w:val="en-US" w:eastAsia="zh-CN"/>
              </w:rPr>
              <w:t>3</w:t>
            </w:r>
          </w:p>
        </w:tc>
        <w:tc>
          <w:tcPr>
            <w:tcW w:w="943"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tcPr>
          <w:p w14:paraId="0B5E959D">
            <w:pPr>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left"/>
              <w:textAlignment w:val="auto"/>
              <w:rPr>
                <w:rFonts w:hint="eastAsia" w:asciiTheme="minorEastAsia" w:hAnsiTheme="minorEastAsia" w:eastAsiaTheme="minorEastAsia" w:cstheme="minorEastAsia"/>
                <w:kern w:val="0"/>
                <w:sz w:val="20"/>
                <w:szCs w:val="20"/>
                <w:highlight w:val="none"/>
                <w:lang w:val="en-US" w:eastAsia="zh-CN"/>
              </w:rPr>
            </w:pPr>
            <w:r>
              <w:rPr>
                <w:rFonts w:hint="eastAsia" w:asciiTheme="minorEastAsia" w:hAnsiTheme="minorEastAsia" w:eastAsiaTheme="minorEastAsia" w:cstheme="minorEastAsia"/>
                <w:kern w:val="0"/>
                <w:sz w:val="20"/>
                <w:szCs w:val="20"/>
                <w:highlight w:val="none"/>
                <w:lang w:val="en-US" w:eastAsia="zh-CN"/>
              </w:rPr>
              <w:t>2</w:t>
            </w:r>
          </w:p>
        </w:tc>
        <w:tc>
          <w:tcPr>
            <w:tcW w:w="882"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tcPr>
          <w:p w14:paraId="288748F4">
            <w:pPr>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left"/>
              <w:textAlignment w:val="auto"/>
              <w:rPr>
                <w:rFonts w:hint="eastAsia" w:asciiTheme="minorEastAsia" w:hAnsiTheme="minorEastAsia" w:eastAsiaTheme="minorEastAsia" w:cstheme="minorEastAsia"/>
                <w:kern w:val="0"/>
                <w:sz w:val="20"/>
                <w:szCs w:val="20"/>
                <w:highlight w:val="none"/>
                <w:lang w:val="en-US" w:eastAsia="zh-CN"/>
              </w:rPr>
            </w:pPr>
            <w:r>
              <w:rPr>
                <w:rFonts w:hint="eastAsia" w:asciiTheme="minorEastAsia" w:hAnsiTheme="minorEastAsia" w:eastAsiaTheme="minorEastAsia" w:cstheme="minorEastAsia"/>
                <w:kern w:val="0"/>
                <w:sz w:val="20"/>
                <w:szCs w:val="20"/>
                <w:highlight w:val="none"/>
                <w:lang w:val="en-US" w:eastAsia="zh-CN"/>
              </w:rPr>
              <w:t>1</w:t>
            </w:r>
          </w:p>
        </w:tc>
      </w:tr>
      <w:tr w14:paraId="53B39788">
        <w:tblPrEx>
          <w:shd w:val="clear" w:color="auto" w:fill="FFFFFF"/>
          <w:tblCellMar>
            <w:top w:w="15" w:type="dxa"/>
            <w:left w:w="15" w:type="dxa"/>
            <w:bottom w:w="15" w:type="dxa"/>
            <w:right w:w="15" w:type="dxa"/>
          </w:tblCellMar>
        </w:tblPrEx>
        <w:trPr>
          <w:jc w:val="center"/>
        </w:trPr>
        <w:tc>
          <w:tcPr>
            <w:tcW w:w="2972" w:type="dxa"/>
            <w:vMerge w:val="continue"/>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14:paraId="0A70605D">
            <w:pPr>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left"/>
              <w:textAlignment w:val="auto"/>
              <w:rPr>
                <w:rFonts w:hint="eastAsia" w:asciiTheme="minorEastAsia" w:hAnsiTheme="minorEastAsia" w:eastAsiaTheme="minorEastAsia" w:cstheme="minorEastAsia"/>
                <w:kern w:val="0"/>
                <w:sz w:val="20"/>
                <w:szCs w:val="20"/>
                <w:highlight w:val="none"/>
                <w:lang w:val="en-US" w:eastAsia="zh-CN"/>
              </w:rPr>
            </w:pPr>
          </w:p>
        </w:tc>
        <w:tc>
          <w:tcPr>
            <w:tcW w:w="1018" w:type="dxa"/>
            <w:vMerge w:val="restart"/>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14:paraId="46288788">
            <w:pPr>
              <w:keepNext w:val="0"/>
              <w:keepLines w:val="0"/>
              <w:pageBreakBefore w:val="0"/>
              <w:widowControl/>
              <w:kinsoku/>
              <w:wordWrap/>
              <w:overflowPunct/>
              <w:topLinePunct w:val="0"/>
              <w:autoSpaceDE/>
              <w:autoSpaceDN/>
              <w:bidi w:val="0"/>
              <w:adjustRightInd/>
              <w:snapToGrid/>
              <w:spacing w:line="300" w:lineRule="auto"/>
              <w:jc w:val="left"/>
              <w:textAlignment w:val="auto"/>
              <w:rPr>
                <w:rFonts w:hint="eastAsia" w:asciiTheme="minorEastAsia" w:hAnsiTheme="minorEastAsia" w:eastAsiaTheme="minorEastAsia" w:cstheme="minorEastAsia"/>
                <w:kern w:val="0"/>
                <w:sz w:val="20"/>
                <w:szCs w:val="20"/>
                <w:highlight w:val="none"/>
                <w:lang w:val="en-US" w:eastAsia="zh-CN"/>
              </w:rPr>
            </w:pPr>
            <w:r>
              <w:rPr>
                <w:rFonts w:hint="eastAsia" w:asciiTheme="minorEastAsia" w:hAnsiTheme="minorEastAsia" w:eastAsiaTheme="minorEastAsia" w:cstheme="minorEastAsia"/>
                <w:kern w:val="0"/>
                <w:sz w:val="20"/>
                <w:szCs w:val="20"/>
                <w:highlight w:val="none"/>
                <w:lang w:val="en-US" w:eastAsia="zh-CN"/>
              </w:rPr>
              <w:t>地区赛</w:t>
            </w:r>
          </w:p>
        </w:tc>
        <w:tc>
          <w:tcPr>
            <w:tcW w:w="1845"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tcPr>
          <w:p w14:paraId="218A948F">
            <w:pPr>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left"/>
              <w:textAlignment w:val="auto"/>
              <w:rPr>
                <w:rFonts w:hint="eastAsia" w:asciiTheme="minorEastAsia" w:hAnsiTheme="minorEastAsia" w:eastAsiaTheme="minorEastAsia" w:cstheme="minorEastAsia"/>
                <w:kern w:val="0"/>
                <w:sz w:val="20"/>
                <w:szCs w:val="20"/>
                <w:highlight w:val="none"/>
                <w:lang w:val="en-US" w:eastAsia="zh-CN"/>
              </w:rPr>
            </w:pPr>
            <w:r>
              <w:rPr>
                <w:rFonts w:hint="eastAsia" w:asciiTheme="minorEastAsia" w:hAnsiTheme="minorEastAsia" w:eastAsiaTheme="minorEastAsia" w:cstheme="minorEastAsia"/>
                <w:kern w:val="0"/>
                <w:sz w:val="20"/>
                <w:szCs w:val="20"/>
                <w:highlight w:val="none"/>
                <w:lang w:val="en-US" w:eastAsia="zh-CN"/>
              </w:rPr>
              <w:t>一等奖及以上</w:t>
            </w:r>
          </w:p>
        </w:tc>
        <w:tc>
          <w:tcPr>
            <w:tcW w:w="918"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tcPr>
          <w:p w14:paraId="2E2B60D0">
            <w:pPr>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left"/>
              <w:textAlignment w:val="auto"/>
              <w:rPr>
                <w:rFonts w:hint="eastAsia" w:asciiTheme="minorEastAsia" w:hAnsiTheme="minorEastAsia" w:eastAsiaTheme="minorEastAsia" w:cstheme="minorEastAsia"/>
                <w:kern w:val="0"/>
                <w:sz w:val="20"/>
                <w:szCs w:val="20"/>
                <w:highlight w:val="none"/>
                <w:lang w:val="en-US" w:eastAsia="zh-CN"/>
              </w:rPr>
            </w:pPr>
            <w:r>
              <w:rPr>
                <w:rFonts w:hint="eastAsia" w:asciiTheme="minorEastAsia" w:hAnsiTheme="minorEastAsia" w:eastAsiaTheme="minorEastAsia" w:cstheme="minorEastAsia"/>
                <w:kern w:val="0"/>
                <w:sz w:val="20"/>
                <w:szCs w:val="20"/>
                <w:highlight w:val="none"/>
                <w:lang w:val="en-US" w:eastAsia="zh-CN"/>
              </w:rPr>
              <w:t>3</w:t>
            </w:r>
          </w:p>
        </w:tc>
        <w:tc>
          <w:tcPr>
            <w:tcW w:w="943"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tcPr>
          <w:p w14:paraId="50DCD799">
            <w:pPr>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left"/>
              <w:textAlignment w:val="auto"/>
              <w:rPr>
                <w:rFonts w:hint="eastAsia" w:asciiTheme="minorEastAsia" w:hAnsiTheme="minorEastAsia" w:eastAsiaTheme="minorEastAsia" w:cstheme="minorEastAsia"/>
                <w:kern w:val="0"/>
                <w:sz w:val="20"/>
                <w:szCs w:val="20"/>
                <w:highlight w:val="none"/>
                <w:lang w:val="en-US" w:eastAsia="zh-CN"/>
              </w:rPr>
            </w:pPr>
            <w:r>
              <w:rPr>
                <w:rFonts w:hint="eastAsia" w:asciiTheme="minorEastAsia" w:hAnsiTheme="minorEastAsia" w:eastAsiaTheme="minorEastAsia" w:cstheme="minorEastAsia"/>
                <w:kern w:val="0"/>
                <w:sz w:val="20"/>
                <w:szCs w:val="20"/>
                <w:highlight w:val="none"/>
                <w:lang w:val="en-US" w:eastAsia="zh-CN"/>
              </w:rPr>
              <w:t>2.1</w:t>
            </w:r>
          </w:p>
        </w:tc>
        <w:tc>
          <w:tcPr>
            <w:tcW w:w="882"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tcPr>
          <w:p w14:paraId="35DA0E89">
            <w:pPr>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left"/>
              <w:textAlignment w:val="auto"/>
              <w:rPr>
                <w:rFonts w:hint="eastAsia" w:asciiTheme="minorEastAsia" w:hAnsiTheme="minorEastAsia" w:eastAsiaTheme="minorEastAsia" w:cstheme="minorEastAsia"/>
                <w:kern w:val="0"/>
                <w:sz w:val="20"/>
                <w:szCs w:val="20"/>
                <w:highlight w:val="none"/>
                <w:lang w:val="en-US" w:eastAsia="zh-CN"/>
              </w:rPr>
            </w:pPr>
            <w:r>
              <w:rPr>
                <w:rFonts w:hint="eastAsia" w:asciiTheme="minorEastAsia" w:hAnsiTheme="minorEastAsia" w:eastAsiaTheme="minorEastAsia" w:cstheme="minorEastAsia"/>
                <w:kern w:val="0"/>
                <w:sz w:val="20"/>
                <w:szCs w:val="20"/>
                <w:highlight w:val="none"/>
                <w:lang w:val="en-US" w:eastAsia="zh-CN"/>
              </w:rPr>
              <w:t>1.5</w:t>
            </w:r>
          </w:p>
        </w:tc>
      </w:tr>
      <w:tr w14:paraId="2B914618">
        <w:tblPrEx>
          <w:shd w:val="clear" w:color="auto" w:fill="FFFFFF"/>
          <w:tblCellMar>
            <w:top w:w="15" w:type="dxa"/>
            <w:left w:w="15" w:type="dxa"/>
            <w:bottom w:w="15" w:type="dxa"/>
            <w:right w:w="15" w:type="dxa"/>
          </w:tblCellMar>
        </w:tblPrEx>
        <w:trPr>
          <w:jc w:val="center"/>
        </w:trPr>
        <w:tc>
          <w:tcPr>
            <w:tcW w:w="2972" w:type="dxa"/>
            <w:vMerge w:val="continue"/>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14:paraId="1213A051">
            <w:pPr>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left"/>
              <w:textAlignment w:val="auto"/>
              <w:rPr>
                <w:rFonts w:hint="eastAsia" w:asciiTheme="minorEastAsia" w:hAnsiTheme="minorEastAsia" w:eastAsiaTheme="minorEastAsia" w:cstheme="minorEastAsia"/>
                <w:kern w:val="0"/>
                <w:sz w:val="20"/>
                <w:szCs w:val="20"/>
                <w:highlight w:val="none"/>
                <w:lang w:val="en-US" w:eastAsia="zh-CN"/>
              </w:rPr>
            </w:pPr>
          </w:p>
        </w:tc>
        <w:tc>
          <w:tcPr>
            <w:tcW w:w="1018" w:type="dxa"/>
            <w:vMerge w:val="continue"/>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14:paraId="0A765BA8">
            <w:pPr>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left"/>
              <w:textAlignment w:val="auto"/>
              <w:rPr>
                <w:rFonts w:hint="eastAsia" w:asciiTheme="minorEastAsia" w:hAnsiTheme="minorEastAsia" w:eastAsiaTheme="minorEastAsia" w:cstheme="minorEastAsia"/>
                <w:kern w:val="0"/>
                <w:sz w:val="20"/>
                <w:szCs w:val="20"/>
                <w:highlight w:val="none"/>
                <w:lang w:val="en-US" w:eastAsia="zh-CN"/>
              </w:rPr>
            </w:pPr>
          </w:p>
        </w:tc>
        <w:tc>
          <w:tcPr>
            <w:tcW w:w="1845"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tcPr>
          <w:p w14:paraId="76655FB4">
            <w:pPr>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left"/>
              <w:textAlignment w:val="auto"/>
              <w:rPr>
                <w:rFonts w:hint="eastAsia" w:asciiTheme="minorEastAsia" w:hAnsiTheme="minorEastAsia" w:eastAsiaTheme="minorEastAsia" w:cstheme="minorEastAsia"/>
                <w:kern w:val="0"/>
                <w:sz w:val="20"/>
                <w:szCs w:val="20"/>
                <w:highlight w:val="none"/>
                <w:lang w:val="en-US" w:eastAsia="zh-CN"/>
              </w:rPr>
            </w:pPr>
            <w:r>
              <w:rPr>
                <w:rFonts w:hint="eastAsia" w:asciiTheme="minorEastAsia" w:hAnsiTheme="minorEastAsia" w:eastAsiaTheme="minorEastAsia" w:cstheme="minorEastAsia"/>
                <w:kern w:val="0"/>
                <w:sz w:val="20"/>
                <w:szCs w:val="20"/>
                <w:highlight w:val="none"/>
                <w:lang w:val="en-US" w:eastAsia="zh-CN"/>
              </w:rPr>
              <w:t>二等奖</w:t>
            </w:r>
          </w:p>
        </w:tc>
        <w:tc>
          <w:tcPr>
            <w:tcW w:w="918"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tcPr>
          <w:p w14:paraId="3AEAA4A2">
            <w:pPr>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left"/>
              <w:textAlignment w:val="auto"/>
              <w:rPr>
                <w:rFonts w:hint="eastAsia" w:asciiTheme="minorEastAsia" w:hAnsiTheme="minorEastAsia" w:eastAsiaTheme="minorEastAsia" w:cstheme="minorEastAsia"/>
                <w:kern w:val="0"/>
                <w:sz w:val="20"/>
                <w:szCs w:val="20"/>
                <w:highlight w:val="none"/>
                <w:lang w:val="en-US" w:eastAsia="zh-CN"/>
              </w:rPr>
            </w:pPr>
            <w:r>
              <w:rPr>
                <w:rFonts w:hint="eastAsia" w:asciiTheme="minorEastAsia" w:hAnsiTheme="minorEastAsia" w:eastAsiaTheme="minorEastAsia" w:cstheme="minorEastAsia"/>
                <w:kern w:val="0"/>
                <w:sz w:val="20"/>
                <w:szCs w:val="20"/>
                <w:highlight w:val="none"/>
                <w:lang w:val="en-US" w:eastAsia="zh-CN"/>
              </w:rPr>
              <w:t>2</w:t>
            </w:r>
          </w:p>
        </w:tc>
        <w:tc>
          <w:tcPr>
            <w:tcW w:w="943"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tcPr>
          <w:p w14:paraId="161F7F9F">
            <w:pPr>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left"/>
              <w:textAlignment w:val="auto"/>
              <w:rPr>
                <w:rFonts w:hint="eastAsia" w:asciiTheme="minorEastAsia" w:hAnsiTheme="minorEastAsia" w:eastAsiaTheme="minorEastAsia" w:cstheme="minorEastAsia"/>
                <w:kern w:val="0"/>
                <w:sz w:val="20"/>
                <w:szCs w:val="20"/>
                <w:highlight w:val="none"/>
                <w:lang w:val="en-US" w:eastAsia="zh-CN"/>
              </w:rPr>
            </w:pPr>
            <w:r>
              <w:rPr>
                <w:rFonts w:hint="eastAsia" w:asciiTheme="minorEastAsia" w:hAnsiTheme="minorEastAsia" w:eastAsiaTheme="minorEastAsia" w:cstheme="minorEastAsia"/>
                <w:kern w:val="0"/>
                <w:sz w:val="20"/>
                <w:szCs w:val="20"/>
                <w:highlight w:val="none"/>
                <w:lang w:val="en-US" w:eastAsia="zh-CN"/>
              </w:rPr>
              <w:t>1.4</w:t>
            </w:r>
          </w:p>
        </w:tc>
        <w:tc>
          <w:tcPr>
            <w:tcW w:w="882"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tcPr>
          <w:p w14:paraId="5A5C4343">
            <w:pPr>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left"/>
              <w:textAlignment w:val="auto"/>
              <w:rPr>
                <w:rFonts w:hint="eastAsia" w:asciiTheme="minorEastAsia" w:hAnsiTheme="minorEastAsia" w:eastAsiaTheme="minorEastAsia" w:cstheme="minorEastAsia"/>
                <w:kern w:val="0"/>
                <w:sz w:val="20"/>
                <w:szCs w:val="20"/>
                <w:highlight w:val="none"/>
                <w:lang w:val="en-US" w:eastAsia="zh-CN"/>
              </w:rPr>
            </w:pPr>
            <w:r>
              <w:rPr>
                <w:rFonts w:hint="eastAsia" w:asciiTheme="minorEastAsia" w:hAnsiTheme="minorEastAsia" w:eastAsiaTheme="minorEastAsia" w:cstheme="minorEastAsia"/>
                <w:kern w:val="0"/>
                <w:sz w:val="20"/>
                <w:szCs w:val="20"/>
                <w:highlight w:val="none"/>
                <w:lang w:val="en-US" w:eastAsia="zh-CN"/>
              </w:rPr>
              <w:t>1</w:t>
            </w:r>
          </w:p>
        </w:tc>
      </w:tr>
      <w:tr w14:paraId="4632C73D">
        <w:tblPrEx>
          <w:shd w:val="clear" w:color="auto" w:fill="FFFFFF"/>
          <w:tblCellMar>
            <w:top w:w="15" w:type="dxa"/>
            <w:left w:w="15" w:type="dxa"/>
            <w:bottom w:w="15" w:type="dxa"/>
            <w:right w:w="15" w:type="dxa"/>
          </w:tblCellMar>
        </w:tblPrEx>
        <w:trPr>
          <w:jc w:val="center"/>
        </w:trPr>
        <w:tc>
          <w:tcPr>
            <w:tcW w:w="3990" w:type="dxa"/>
            <w:gridSpan w:val="2"/>
            <w:vMerge w:val="restart"/>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14:paraId="69F66D13">
            <w:pPr>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left"/>
              <w:textAlignment w:val="auto"/>
              <w:rPr>
                <w:rFonts w:hint="eastAsia" w:asciiTheme="minorEastAsia" w:hAnsiTheme="minorEastAsia" w:eastAsiaTheme="minorEastAsia" w:cstheme="minorEastAsia"/>
                <w:kern w:val="0"/>
                <w:sz w:val="20"/>
                <w:szCs w:val="20"/>
                <w:highlight w:val="none"/>
                <w:lang w:val="en-US" w:eastAsia="zh-CN"/>
              </w:rPr>
            </w:pPr>
            <w:r>
              <w:rPr>
                <w:rFonts w:hint="eastAsia" w:asciiTheme="minorEastAsia" w:hAnsiTheme="minorEastAsia" w:eastAsiaTheme="minorEastAsia" w:cstheme="minorEastAsia"/>
                <w:kern w:val="0"/>
                <w:sz w:val="20"/>
                <w:szCs w:val="20"/>
                <w:highlight w:val="none"/>
                <w:lang w:val="en-US" w:eastAsia="zh-CN"/>
              </w:rPr>
              <w:t>我校认定的其他全国性专业竞赛</w:t>
            </w:r>
          </w:p>
        </w:tc>
        <w:tc>
          <w:tcPr>
            <w:tcW w:w="1845"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tcPr>
          <w:p w14:paraId="73A056BE">
            <w:pPr>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left"/>
              <w:textAlignment w:val="auto"/>
              <w:rPr>
                <w:rFonts w:hint="eastAsia" w:asciiTheme="minorEastAsia" w:hAnsiTheme="minorEastAsia" w:eastAsiaTheme="minorEastAsia" w:cstheme="minorEastAsia"/>
                <w:kern w:val="0"/>
                <w:sz w:val="20"/>
                <w:szCs w:val="20"/>
                <w:highlight w:val="none"/>
                <w:lang w:val="en-US" w:eastAsia="zh-CN"/>
              </w:rPr>
            </w:pPr>
            <w:r>
              <w:rPr>
                <w:rFonts w:hint="eastAsia" w:asciiTheme="minorEastAsia" w:hAnsiTheme="minorEastAsia" w:eastAsiaTheme="minorEastAsia" w:cstheme="minorEastAsia"/>
                <w:kern w:val="0"/>
                <w:sz w:val="20"/>
                <w:szCs w:val="20"/>
                <w:highlight w:val="none"/>
                <w:lang w:val="en-US" w:eastAsia="zh-CN"/>
              </w:rPr>
              <w:t>一等奖及以上</w:t>
            </w:r>
          </w:p>
        </w:tc>
        <w:tc>
          <w:tcPr>
            <w:tcW w:w="918"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tcPr>
          <w:p w14:paraId="1526F70F">
            <w:pPr>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left"/>
              <w:textAlignment w:val="auto"/>
              <w:rPr>
                <w:rFonts w:hint="eastAsia" w:asciiTheme="minorEastAsia" w:hAnsiTheme="minorEastAsia" w:eastAsiaTheme="minorEastAsia" w:cstheme="minorEastAsia"/>
                <w:kern w:val="0"/>
                <w:sz w:val="20"/>
                <w:szCs w:val="20"/>
                <w:highlight w:val="none"/>
                <w:lang w:val="en-US" w:eastAsia="zh-CN"/>
              </w:rPr>
            </w:pPr>
            <w:r>
              <w:rPr>
                <w:rFonts w:hint="eastAsia" w:asciiTheme="minorEastAsia" w:hAnsiTheme="minorEastAsia" w:eastAsiaTheme="minorEastAsia" w:cstheme="minorEastAsia"/>
                <w:kern w:val="0"/>
                <w:sz w:val="20"/>
                <w:szCs w:val="20"/>
                <w:highlight w:val="none"/>
                <w:lang w:val="en-US" w:eastAsia="zh-CN"/>
              </w:rPr>
              <w:t>3</w:t>
            </w:r>
          </w:p>
        </w:tc>
        <w:tc>
          <w:tcPr>
            <w:tcW w:w="943"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tcPr>
          <w:p w14:paraId="01E88D7D">
            <w:pPr>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left"/>
              <w:textAlignment w:val="auto"/>
              <w:rPr>
                <w:rFonts w:hint="eastAsia" w:asciiTheme="minorEastAsia" w:hAnsiTheme="minorEastAsia" w:eastAsiaTheme="minorEastAsia" w:cstheme="minorEastAsia"/>
                <w:kern w:val="0"/>
                <w:sz w:val="20"/>
                <w:szCs w:val="20"/>
                <w:highlight w:val="none"/>
                <w:lang w:val="en-US" w:eastAsia="zh-CN"/>
              </w:rPr>
            </w:pPr>
            <w:r>
              <w:rPr>
                <w:rFonts w:hint="eastAsia" w:asciiTheme="minorEastAsia" w:hAnsiTheme="minorEastAsia" w:eastAsiaTheme="minorEastAsia" w:cstheme="minorEastAsia"/>
                <w:kern w:val="0"/>
                <w:sz w:val="20"/>
                <w:szCs w:val="20"/>
                <w:highlight w:val="none"/>
                <w:lang w:val="en-US" w:eastAsia="zh-CN"/>
              </w:rPr>
              <w:t>2.1</w:t>
            </w:r>
          </w:p>
        </w:tc>
        <w:tc>
          <w:tcPr>
            <w:tcW w:w="882"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tcPr>
          <w:p w14:paraId="7AC23775">
            <w:pPr>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left"/>
              <w:textAlignment w:val="auto"/>
              <w:rPr>
                <w:rFonts w:hint="eastAsia" w:asciiTheme="minorEastAsia" w:hAnsiTheme="minorEastAsia" w:eastAsiaTheme="minorEastAsia" w:cstheme="minorEastAsia"/>
                <w:kern w:val="0"/>
                <w:sz w:val="20"/>
                <w:szCs w:val="20"/>
                <w:highlight w:val="none"/>
                <w:lang w:val="en-US" w:eastAsia="zh-CN"/>
              </w:rPr>
            </w:pPr>
            <w:r>
              <w:rPr>
                <w:rFonts w:hint="eastAsia" w:asciiTheme="minorEastAsia" w:hAnsiTheme="minorEastAsia" w:eastAsiaTheme="minorEastAsia" w:cstheme="minorEastAsia"/>
                <w:kern w:val="0"/>
                <w:sz w:val="20"/>
                <w:szCs w:val="20"/>
                <w:highlight w:val="none"/>
                <w:lang w:val="en-US" w:eastAsia="zh-CN"/>
              </w:rPr>
              <w:t>1.5</w:t>
            </w:r>
          </w:p>
        </w:tc>
      </w:tr>
      <w:tr w14:paraId="1B867612">
        <w:tblPrEx>
          <w:shd w:val="clear" w:color="auto" w:fill="FFFFFF"/>
          <w:tblCellMar>
            <w:top w:w="15" w:type="dxa"/>
            <w:left w:w="15" w:type="dxa"/>
            <w:bottom w:w="15" w:type="dxa"/>
            <w:right w:w="15" w:type="dxa"/>
          </w:tblCellMar>
        </w:tblPrEx>
        <w:trPr>
          <w:jc w:val="center"/>
        </w:trPr>
        <w:tc>
          <w:tcPr>
            <w:tcW w:w="3990" w:type="dxa"/>
            <w:gridSpan w:val="2"/>
            <w:vMerge w:val="continue"/>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14:paraId="197B9DD6">
            <w:pPr>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left"/>
              <w:textAlignment w:val="auto"/>
              <w:rPr>
                <w:rFonts w:hint="eastAsia" w:asciiTheme="minorEastAsia" w:hAnsiTheme="minorEastAsia" w:eastAsiaTheme="minorEastAsia" w:cstheme="minorEastAsia"/>
                <w:kern w:val="0"/>
                <w:sz w:val="20"/>
                <w:szCs w:val="20"/>
                <w:highlight w:val="none"/>
                <w:lang w:val="en-US" w:eastAsia="zh-CN"/>
              </w:rPr>
            </w:pPr>
          </w:p>
        </w:tc>
        <w:tc>
          <w:tcPr>
            <w:tcW w:w="1845"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tcPr>
          <w:p w14:paraId="76DBC903">
            <w:pPr>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left"/>
              <w:textAlignment w:val="auto"/>
              <w:rPr>
                <w:rFonts w:hint="eastAsia" w:asciiTheme="minorEastAsia" w:hAnsiTheme="minorEastAsia" w:eastAsiaTheme="minorEastAsia" w:cstheme="minorEastAsia"/>
                <w:kern w:val="0"/>
                <w:sz w:val="20"/>
                <w:szCs w:val="20"/>
                <w:highlight w:val="none"/>
                <w:lang w:val="en-US" w:eastAsia="zh-CN"/>
              </w:rPr>
            </w:pPr>
            <w:r>
              <w:rPr>
                <w:rFonts w:hint="eastAsia" w:asciiTheme="minorEastAsia" w:hAnsiTheme="minorEastAsia" w:eastAsiaTheme="minorEastAsia" w:cstheme="minorEastAsia"/>
                <w:kern w:val="0"/>
                <w:sz w:val="20"/>
                <w:szCs w:val="20"/>
                <w:highlight w:val="none"/>
                <w:lang w:val="en-US" w:eastAsia="zh-CN"/>
              </w:rPr>
              <w:t>二等奖</w:t>
            </w:r>
          </w:p>
        </w:tc>
        <w:tc>
          <w:tcPr>
            <w:tcW w:w="918"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tcPr>
          <w:p w14:paraId="6BC54F31">
            <w:pPr>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left"/>
              <w:textAlignment w:val="auto"/>
              <w:rPr>
                <w:rFonts w:hint="eastAsia" w:asciiTheme="minorEastAsia" w:hAnsiTheme="minorEastAsia" w:eastAsiaTheme="minorEastAsia" w:cstheme="minorEastAsia"/>
                <w:kern w:val="0"/>
                <w:sz w:val="20"/>
                <w:szCs w:val="20"/>
                <w:highlight w:val="none"/>
                <w:lang w:val="en-US" w:eastAsia="zh-CN"/>
              </w:rPr>
            </w:pPr>
            <w:r>
              <w:rPr>
                <w:rFonts w:hint="eastAsia" w:asciiTheme="minorEastAsia" w:hAnsiTheme="minorEastAsia" w:eastAsiaTheme="minorEastAsia" w:cstheme="minorEastAsia"/>
                <w:kern w:val="0"/>
                <w:sz w:val="20"/>
                <w:szCs w:val="20"/>
                <w:highlight w:val="none"/>
                <w:lang w:val="en-US" w:eastAsia="zh-CN"/>
              </w:rPr>
              <w:t>2</w:t>
            </w:r>
          </w:p>
        </w:tc>
        <w:tc>
          <w:tcPr>
            <w:tcW w:w="943"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tcPr>
          <w:p w14:paraId="0985EDF2">
            <w:pPr>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left"/>
              <w:textAlignment w:val="auto"/>
              <w:rPr>
                <w:rFonts w:hint="eastAsia" w:asciiTheme="minorEastAsia" w:hAnsiTheme="minorEastAsia" w:eastAsiaTheme="minorEastAsia" w:cstheme="minorEastAsia"/>
                <w:kern w:val="0"/>
                <w:sz w:val="20"/>
                <w:szCs w:val="20"/>
                <w:highlight w:val="none"/>
                <w:lang w:val="en-US" w:eastAsia="zh-CN"/>
              </w:rPr>
            </w:pPr>
            <w:r>
              <w:rPr>
                <w:rFonts w:hint="eastAsia" w:asciiTheme="minorEastAsia" w:hAnsiTheme="minorEastAsia" w:eastAsiaTheme="minorEastAsia" w:cstheme="minorEastAsia"/>
                <w:kern w:val="0"/>
                <w:sz w:val="20"/>
                <w:szCs w:val="20"/>
                <w:highlight w:val="none"/>
                <w:lang w:val="en-US" w:eastAsia="zh-CN"/>
              </w:rPr>
              <w:t>1.4</w:t>
            </w:r>
          </w:p>
        </w:tc>
        <w:tc>
          <w:tcPr>
            <w:tcW w:w="882"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tcPr>
          <w:p w14:paraId="5F4C1F23">
            <w:pPr>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left"/>
              <w:textAlignment w:val="auto"/>
              <w:rPr>
                <w:rFonts w:hint="eastAsia" w:asciiTheme="minorEastAsia" w:hAnsiTheme="minorEastAsia" w:eastAsiaTheme="minorEastAsia" w:cstheme="minorEastAsia"/>
                <w:kern w:val="0"/>
                <w:sz w:val="20"/>
                <w:szCs w:val="20"/>
                <w:highlight w:val="none"/>
                <w:lang w:val="en-US" w:eastAsia="zh-CN"/>
              </w:rPr>
            </w:pPr>
            <w:r>
              <w:rPr>
                <w:rFonts w:hint="eastAsia" w:asciiTheme="minorEastAsia" w:hAnsiTheme="minorEastAsia" w:eastAsiaTheme="minorEastAsia" w:cstheme="minorEastAsia"/>
                <w:kern w:val="0"/>
                <w:sz w:val="20"/>
                <w:szCs w:val="20"/>
                <w:highlight w:val="none"/>
                <w:lang w:val="en-US" w:eastAsia="zh-CN"/>
              </w:rPr>
              <w:t>1</w:t>
            </w:r>
          </w:p>
        </w:tc>
      </w:tr>
    </w:tbl>
    <w:p w14:paraId="4F1FDF52">
      <w:pPr>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left"/>
        <w:textAlignment w:val="auto"/>
        <w:rPr>
          <w:rFonts w:hint="eastAsia" w:asciiTheme="minorEastAsia" w:hAnsiTheme="minorEastAsia" w:eastAsiaTheme="minorEastAsia" w:cstheme="minorEastAsia"/>
          <w:kern w:val="0"/>
          <w:sz w:val="20"/>
          <w:szCs w:val="20"/>
          <w:highlight w:val="none"/>
          <w:lang w:val="en-US" w:eastAsia="zh-CN"/>
        </w:rPr>
      </w:pPr>
      <w:r>
        <w:rPr>
          <w:rFonts w:hint="eastAsia" w:asciiTheme="minorEastAsia" w:hAnsiTheme="minorEastAsia" w:eastAsiaTheme="minorEastAsia" w:cstheme="minorEastAsia"/>
          <w:kern w:val="0"/>
          <w:sz w:val="20"/>
          <w:szCs w:val="20"/>
          <w:highlight w:val="none"/>
          <w:lang w:val="en-US" w:eastAsia="zh-CN"/>
        </w:rPr>
        <w:t>说明：</w:t>
      </w:r>
    </w:p>
    <w:p w14:paraId="169C5AB8">
      <w:pPr>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left"/>
        <w:textAlignment w:val="auto"/>
        <w:rPr>
          <w:rFonts w:hint="eastAsia" w:asciiTheme="minorEastAsia" w:hAnsiTheme="minorEastAsia" w:eastAsiaTheme="minorEastAsia" w:cstheme="minorEastAsia"/>
          <w:kern w:val="0"/>
          <w:sz w:val="20"/>
          <w:szCs w:val="20"/>
          <w:highlight w:val="none"/>
          <w:lang w:val="en-US" w:eastAsia="zh-CN"/>
        </w:rPr>
      </w:pPr>
      <w:r>
        <w:rPr>
          <w:rFonts w:hint="eastAsia" w:asciiTheme="minorEastAsia" w:hAnsiTheme="minorEastAsia" w:eastAsiaTheme="minorEastAsia" w:cstheme="minorEastAsia"/>
          <w:kern w:val="0"/>
          <w:sz w:val="20"/>
          <w:szCs w:val="20"/>
          <w:highlight w:val="none"/>
          <w:lang w:val="en-US" w:eastAsia="zh-CN"/>
        </w:rPr>
        <w:t>1.若为个人奖项，则按排名1得分。若为团体获奖，①可以按照上表参考分值分配；②也可以按照排名1-3的计分之和按团队人数平均计分；③还可以在全体成员同意的情况下，根据个人贡献度自行分配。（注：第③方案只允许分配3名。分值分配方案学院要公示，公示10天。一项成果分配一次，一旦完成公示后，奖学金评定、各类评优和学位授予成果计分等用途不得再变更分配方案和分配方式。）</w:t>
      </w:r>
    </w:p>
    <w:p w14:paraId="2F4C86B7">
      <w:pPr>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left"/>
        <w:textAlignment w:val="auto"/>
        <w:rPr>
          <w:rFonts w:hint="eastAsia" w:asciiTheme="minorEastAsia" w:hAnsiTheme="minorEastAsia" w:eastAsiaTheme="minorEastAsia" w:cstheme="minorEastAsia"/>
          <w:kern w:val="0"/>
          <w:sz w:val="20"/>
          <w:szCs w:val="20"/>
          <w:highlight w:val="none"/>
          <w:lang w:val="en-US" w:eastAsia="zh-CN"/>
        </w:rPr>
      </w:pPr>
      <w:r>
        <w:rPr>
          <w:rFonts w:hint="eastAsia" w:asciiTheme="minorEastAsia" w:hAnsiTheme="minorEastAsia" w:eastAsiaTheme="minorEastAsia" w:cstheme="minorEastAsia"/>
          <w:kern w:val="0"/>
          <w:sz w:val="20"/>
          <w:szCs w:val="20"/>
          <w:highlight w:val="none"/>
          <w:lang w:val="en-US" w:eastAsia="zh-CN"/>
        </w:rPr>
        <w:t>2.列入统计范围的竞赛须提供获奖证书复印件等证明材料。</w:t>
      </w:r>
    </w:p>
    <w:p w14:paraId="111D7BF0">
      <w:pPr>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left"/>
        <w:textAlignment w:val="auto"/>
        <w:rPr>
          <w:rFonts w:hint="eastAsia" w:asciiTheme="minorEastAsia" w:hAnsiTheme="minorEastAsia" w:eastAsiaTheme="minorEastAsia" w:cstheme="minorEastAsia"/>
          <w:kern w:val="0"/>
          <w:sz w:val="20"/>
          <w:szCs w:val="20"/>
          <w:highlight w:val="none"/>
          <w:lang w:val="en-US" w:eastAsia="zh-CN"/>
        </w:rPr>
      </w:pPr>
      <w:r>
        <w:rPr>
          <w:rFonts w:hint="eastAsia" w:asciiTheme="minorEastAsia" w:hAnsiTheme="minorEastAsia" w:eastAsiaTheme="minorEastAsia" w:cstheme="minorEastAsia"/>
          <w:kern w:val="0"/>
          <w:sz w:val="20"/>
          <w:szCs w:val="20"/>
          <w:highlight w:val="none"/>
          <w:lang w:val="en-US" w:eastAsia="zh-CN"/>
        </w:rPr>
        <w:t>3.各级竞赛细目</w:t>
      </w:r>
    </w:p>
    <w:p w14:paraId="47872830">
      <w:pPr>
        <w:keepNext w:val="0"/>
        <w:keepLines w:val="0"/>
        <w:pageBreakBefore w:val="0"/>
        <w:widowControl w:val="0"/>
        <w:kinsoku/>
        <w:wordWrap/>
        <w:overflowPunct/>
        <w:topLinePunct w:val="0"/>
        <w:autoSpaceDE/>
        <w:autoSpaceDN/>
        <w:bidi w:val="0"/>
        <w:adjustRightInd/>
        <w:snapToGrid/>
        <w:spacing w:line="300" w:lineRule="auto"/>
        <w:ind w:left="0" w:leftChars="0" w:firstLine="400" w:firstLineChars="200"/>
        <w:textAlignment w:val="auto"/>
        <w:rPr>
          <w:rFonts w:hint="eastAsia" w:asciiTheme="minorEastAsia" w:hAnsiTheme="minorEastAsia" w:eastAsiaTheme="minorEastAsia" w:cstheme="minorEastAsia"/>
          <w:kern w:val="0"/>
          <w:sz w:val="20"/>
          <w:szCs w:val="20"/>
          <w:highlight w:val="yellow"/>
          <w:lang w:val="en-US" w:eastAsia="zh-CN"/>
        </w:rPr>
      </w:pPr>
      <w:r>
        <w:rPr>
          <w:rFonts w:hint="eastAsia" w:asciiTheme="minorEastAsia" w:hAnsiTheme="minorEastAsia" w:cstheme="minorEastAsia"/>
          <w:kern w:val="0"/>
          <w:sz w:val="20"/>
          <w:szCs w:val="20"/>
          <w:highlight w:val="none"/>
          <w:lang w:val="en-US" w:eastAsia="zh-CN"/>
        </w:rPr>
        <w:t>A</w:t>
      </w:r>
      <w:r>
        <w:rPr>
          <w:rFonts w:hint="eastAsia" w:asciiTheme="minorEastAsia" w:hAnsiTheme="minorEastAsia" w:eastAsiaTheme="minorEastAsia" w:cstheme="minorEastAsia"/>
          <w:kern w:val="0"/>
          <w:sz w:val="20"/>
          <w:szCs w:val="20"/>
          <w:highlight w:val="none"/>
          <w:lang w:val="en-US" w:eastAsia="zh-CN"/>
        </w:rPr>
        <w:t>.教育部学位与研究生教育发展中心认定的竞赛指经教育部同意，自2013年面向全国在校研究生开展的“全国研究生创新实践系列活动”的主题赛事，包括：“全国研究生数学建模竞赛”“中国研究生电子设计竞赛”“全国研究生智慧城市技术与创意设计大赛”“中国研究生公共管理案例大赛”“中国研究生未来飞行器创新大赛”“中国研究生能源装备创新设计大赛”“中国MPAcc学生案例大赛”“中国研究生创芯大赛”、“中国研究生人工智能创新大赛”、“中国研究生机器人创新设计大赛”</w:t>
      </w:r>
      <w:r>
        <w:rPr>
          <w:rFonts w:hint="eastAsia" w:asciiTheme="minorEastAsia" w:hAnsiTheme="minorEastAsia" w:cstheme="minorEastAsia"/>
          <w:kern w:val="0"/>
          <w:sz w:val="20"/>
          <w:szCs w:val="20"/>
          <w:highlight w:val="none"/>
          <w:lang w:val="en-US" w:eastAsia="zh-CN"/>
        </w:rPr>
        <w:t>。</w:t>
      </w:r>
      <w:r>
        <w:rPr>
          <w:rFonts w:hint="eastAsia" w:ascii="Times New Roman" w:hAnsi="Times New Roman" w:eastAsia="宋体" w:cstheme="majorEastAsia"/>
          <w:b/>
          <w:bCs/>
          <w:sz w:val="20"/>
          <w:szCs w:val="20"/>
          <w:highlight w:val="yellow"/>
          <w:lang w:val="en-US" w:eastAsia="zh-CN"/>
        </w:rPr>
        <w:t>以上赛事按原计分数值乘以2计分。</w:t>
      </w:r>
    </w:p>
    <w:p w14:paraId="720A3343">
      <w:pPr>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left"/>
        <w:textAlignment w:val="auto"/>
        <w:rPr>
          <w:rFonts w:hint="eastAsia" w:asciiTheme="minorEastAsia" w:hAnsiTheme="minorEastAsia" w:eastAsiaTheme="minorEastAsia" w:cstheme="minorEastAsia"/>
          <w:kern w:val="0"/>
          <w:sz w:val="20"/>
          <w:szCs w:val="20"/>
          <w:highlight w:val="none"/>
          <w:lang w:val="en-US" w:eastAsia="zh-CN"/>
        </w:rPr>
      </w:pPr>
      <w:r>
        <w:rPr>
          <w:rFonts w:hint="eastAsia" w:asciiTheme="minorEastAsia" w:hAnsiTheme="minorEastAsia" w:cstheme="minorEastAsia"/>
          <w:kern w:val="0"/>
          <w:sz w:val="20"/>
          <w:szCs w:val="20"/>
          <w:highlight w:val="none"/>
          <w:lang w:val="en-US" w:eastAsia="zh-CN"/>
        </w:rPr>
        <w:t>B</w:t>
      </w:r>
      <w:r>
        <w:rPr>
          <w:rFonts w:hint="eastAsia" w:asciiTheme="minorEastAsia" w:hAnsiTheme="minorEastAsia" w:eastAsiaTheme="minorEastAsia" w:cstheme="minorEastAsia"/>
          <w:kern w:val="0"/>
          <w:sz w:val="20"/>
          <w:szCs w:val="20"/>
          <w:highlight w:val="none"/>
          <w:lang w:val="en-US" w:eastAsia="zh-CN"/>
        </w:rPr>
        <w:t>.上海市认定的参与毕业生进沪就业打分的竞赛指上海市每年发布的《非上海生源普通高校应届毕业生进沪就业评分办法》规定的竞赛，包括“全国大学生电子设计竞赛”“全国大学生数学建模竞赛”“全国大学生英语竞赛”“全国大学生‘挑战杯’赛”“全国大学生‘飞思卡尔杯’智能汽车竞赛”。</w:t>
      </w:r>
    </w:p>
    <w:p w14:paraId="6BAD7D73">
      <w:pPr>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left"/>
        <w:textAlignment w:val="auto"/>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cstheme="minorEastAsia"/>
          <w:kern w:val="0"/>
          <w:sz w:val="20"/>
          <w:szCs w:val="20"/>
          <w:highlight w:val="none"/>
          <w:lang w:val="en-US" w:eastAsia="zh-CN"/>
        </w:rPr>
        <w:t>C</w:t>
      </w:r>
      <w:r>
        <w:rPr>
          <w:rFonts w:hint="eastAsia" w:asciiTheme="minorEastAsia" w:hAnsiTheme="minorEastAsia" w:eastAsiaTheme="minorEastAsia" w:cstheme="minorEastAsia"/>
          <w:kern w:val="0"/>
          <w:sz w:val="20"/>
          <w:szCs w:val="20"/>
          <w:highlight w:val="none"/>
          <w:lang w:val="en-US" w:eastAsia="zh-CN"/>
        </w:rPr>
        <w:t>.我校认定的其他竞赛包括：“中国制冷空调行业大学生科技竞赛”“中国制冷学会创新大赛”“全国大学生节能减排社会实践与科技竞赛”“西门子杯中国制造挑战赛”“全国高校物联网应用创新大赛”“全国海洋航行器设计与制作大赛”“中国智能船艇挑战赛”“‘云丰杯’全国逆向物流设计大赛”“中国大学生机械工程创新创意大赛——过程装备实践与创新大赛”、“中国可再生能源学会大学生优秀科技作品竞赛”“全国机器翻译与译后编辑大赛”、“‘思源华为杯’创译大赛”、“‘儒易杯’中华文化国际翻译大赛”、“海洋杯国际翻译大赛”、“全国翻译技术大赛”、“CATTI杯全国翻译大赛”、“‘华政杯’全国法律翻译大赛”、“全国专利翻译大赛”、“游戏翻译本地化与国际化大赛”、“‘外研社•国才杯’理解当代中国全国大学生外语能力大赛”。“中日友好杯”中国大学生日语征文比赛、“人民中国杯”日语国际翻译大赛、“中国人日语作文大赛”、“杰赛普国际法模拟法庭”“国际刑事法院中文赛”“‘VisMoot’ 国际商事模拟仲裁赛”“‘中伦杯’全国国际商事仲裁征文大赛”“‘北仲杯’全国高校商事仲裁征文大赛”“中国国际海洋法模拟法庭竞赛（China International Law of the Sea Moot Court Competition)，中国海洋法学会、武汉大学中国边界和海洋研究院主办”“全国大学生交通运输科技大赛”等。“正大杯全国大学生市场调查与分析大赛”“全国应用统计专业学位研究生案例大赛”、“数智港航”数据创新应用大赛、全国大学生统计建模大赛。</w:t>
      </w:r>
    </w:p>
    <w:p w14:paraId="75E4755D">
      <w:pPr>
        <w:pStyle w:val="5"/>
        <w:widowControl/>
        <w:shd w:val="clear" w:color="auto" w:fill="FFFFFF"/>
        <w:spacing w:beforeAutospacing="0" w:afterAutospacing="0" w:line="600" w:lineRule="exact"/>
        <w:ind w:firstLine="640"/>
        <w:jc w:val="both"/>
        <w:rPr>
          <w:rFonts w:hint="eastAsia" w:asciiTheme="minorEastAsia" w:hAnsiTheme="minorEastAsia" w:eastAsiaTheme="minorEastAsia" w:cstheme="minorEastAsia"/>
          <w:b/>
          <w:bCs/>
          <w:kern w:val="0"/>
          <w:sz w:val="20"/>
          <w:szCs w:val="20"/>
          <w:highlight w:val="none"/>
          <w:lang w:val="en-US" w:eastAsia="zh-CN" w:bidi="ar-SA"/>
        </w:rPr>
      </w:pPr>
      <w:r>
        <w:rPr>
          <w:rFonts w:hint="eastAsia" w:asciiTheme="minorEastAsia" w:hAnsiTheme="minorEastAsia" w:eastAsiaTheme="minorEastAsia" w:cstheme="minorEastAsia"/>
          <w:b/>
          <w:bCs/>
          <w:kern w:val="0"/>
          <w:sz w:val="20"/>
          <w:szCs w:val="20"/>
          <w:highlight w:val="none"/>
          <w:lang w:val="en-US" w:eastAsia="zh-CN" w:bidi="ar-SA"/>
        </w:rPr>
        <w:t>（5）境外研学计分标准（单位：分/项）</w:t>
      </w:r>
    </w:p>
    <w:tbl>
      <w:tblPr>
        <w:tblStyle w:val="6"/>
        <w:tblW w:w="0" w:type="auto"/>
        <w:jc w:val="center"/>
        <w:shd w:val="clear" w:color="auto" w:fill="FFFFFF"/>
        <w:tblLayout w:type="autofit"/>
        <w:tblCellMar>
          <w:top w:w="15" w:type="dxa"/>
          <w:left w:w="15" w:type="dxa"/>
          <w:bottom w:w="15" w:type="dxa"/>
          <w:right w:w="15" w:type="dxa"/>
        </w:tblCellMar>
      </w:tblPr>
      <w:tblGrid>
        <w:gridCol w:w="3612"/>
        <w:gridCol w:w="2894"/>
        <w:gridCol w:w="1887"/>
      </w:tblGrid>
      <w:tr w14:paraId="294273A5">
        <w:tblPrEx>
          <w:shd w:val="clear" w:color="auto" w:fill="FFFFFF"/>
          <w:tblCellMar>
            <w:top w:w="15" w:type="dxa"/>
            <w:left w:w="15" w:type="dxa"/>
            <w:bottom w:w="15" w:type="dxa"/>
            <w:right w:w="15" w:type="dxa"/>
          </w:tblCellMar>
        </w:tblPrEx>
        <w:trPr>
          <w:trHeight w:val="286" w:hRule="atLeast"/>
          <w:jc w:val="center"/>
        </w:trPr>
        <w:tc>
          <w:tcPr>
            <w:tcW w:w="3612" w:type="dxa"/>
            <w:tcBorders>
              <w:top w:val="single" w:color="000000" w:sz="6" w:space="0"/>
              <w:left w:val="single" w:color="000000" w:sz="6" w:space="0"/>
              <w:bottom w:val="single" w:color="000000" w:sz="6" w:space="0"/>
              <w:right w:val="single" w:color="000000" w:sz="6" w:space="0"/>
            </w:tcBorders>
            <w:shd w:val="clear" w:color="auto" w:fill="FFFFFF"/>
            <w:tcMar>
              <w:top w:w="0" w:type="dxa"/>
              <w:left w:w="105" w:type="dxa"/>
              <w:bottom w:w="0" w:type="dxa"/>
              <w:right w:w="105" w:type="dxa"/>
            </w:tcMar>
          </w:tcPr>
          <w:p w14:paraId="66C428C0">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成果种类</w:t>
            </w:r>
          </w:p>
        </w:tc>
        <w:tc>
          <w:tcPr>
            <w:tcW w:w="2894" w:type="dxa"/>
            <w:tcBorders>
              <w:top w:val="single" w:color="000000" w:sz="6" w:space="0"/>
              <w:left w:val="nil"/>
              <w:bottom w:val="single" w:color="000000" w:sz="6" w:space="0"/>
              <w:right w:val="single" w:color="000000" w:sz="6" w:space="0"/>
            </w:tcBorders>
            <w:shd w:val="clear" w:color="auto" w:fill="FFFFFF"/>
            <w:tcMar>
              <w:top w:w="0" w:type="dxa"/>
              <w:left w:w="105" w:type="dxa"/>
              <w:bottom w:w="0" w:type="dxa"/>
              <w:right w:w="105" w:type="dxa"/>
            </w:tcMar>
          </w:tcPr>
          <w:p w14:paraId="14A24FC3">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成果范畴</w:t>
            </w:r>
          </w:p>
        </w:tc>
        <w:tc>
          <w:tcPr>
            <w:tcW w:w="1887" w:type="dxa"/>
            <w:tcBorders>
              <w:top w:val="single" w:color="000000" w:sz="6" w:space="0"/>
              <w:left w:val="nil"/>
              <w:bottom w:val="single" w:color="000000" w:sz="6" w:space="0"/>
              <w:right w:val="single" w:color="000000" w:sz="6" w:space="0"/>
            </w:tcBorders>
            <w:shd w:val="clear" w:color="auto" w:fill="FFFFFF"/>
            <w:tcMar>
              <w:top w:w="0" w:type="dxa"/>
              <w:left w:w="105" w:type="dxa"/>
              <w:bottom w:w="0" w:type="dxa"/>
              <w:right w:w="105" w:type="dxa"/>
            </w:tcMar>
          </w:tcPr>
          <w:p w14:paraId="0424D532">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标准分</w:t>
            </w:r>
          </w:p>
        </w:tc>
      </w:tr>
      <w:tr w14:paraId="2882CFDB">
        <w:tblPrEx>
          <w:shd w:val="clear" w:color="auto" w:fill="FFFFFF"/>
          <w:tblCellMar>
            <w:top w:w="15" w:type="dxa"/>
            <w:left w:w="15" w:type="dxa"/>
            <w:bottom w:w="15" w:type="dxa"/>
            <w:right w:w="15" w:type="dxa"/>
          </w:tblCellMar>
        </w:tblPrEx>
        <w:trPr>
          <w:jc w:val="center"/>
        </w:trPr>
        <w:tc>
          <w:tcPr>
            <w:tcW w:w="3612" w:type="dxa"/>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14:paraId="3F734672">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国家公派出国留学</w:t>
            </w:r>
          </w:p>
        </w:tc>
        <w:tc>
          <w:tcPr>
            <w:tcW w:w="2894"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tcPr>
          <w:p w14:paraId="051DE17A">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获得国家公派出国留学资助并完成</w:t>
            </w:r>
          </w:p>
        </w:tc>
        <w:tc>
          <w:tcPr>
            <w:tcW w:w="1887"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tcPr>
          <w:p w14:paraId="1CBF62FD">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8</w:t>
            </w:r>
          </w:p>
        </w:tc>
      </w:tr>
      <w:tr w14:paraId="2986891F">
        <w:tblPrEx>
          <w:shd w:val="clear" w:color="auto" w:fill="FFFFFF"/>
          <w:tblCellMar>
            <w:top w:w="15" w:type="dxa"/>
            <w:left w:w="15" w:type="dxa"/>
            <w:bottom w:w="15" w:type="dxa"/>
            <w:right w:w="15" w:type="dxa"/>
          </w:tblCellMar>
        </w:tblPrEx>
        <w:trPr>
          <w:jc w:val="center"/>
        </w:trPr>
        <w:tc>
          <w:tcPr>
            <w:tcW w:w="3612" w:type="dxa"/>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14:paraId="734FDEAA">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长期研学、实习项目</w:t>
            </w:r>
          </w:p>
        </w:tc>
        <w:tc>
          <w:tcPr>
            <w:tcW w:w="2894"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tcPr>
          <w:p w14:paraId="0A7399F4">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9个月以上</w:t>
            </w:r>
          </w:p>
        </w:tc>
        <w:tc>
          <w:tcPr>
            <w:tcW w:w="1887"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tcPr>
          <w:p w14:paraId="0FDD9F90">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4</w:t>
            </w:r>
          </w:p>
        </w:tc>
      </w:tr>
      <w:tr w14:paraId="4B4E00E6">
        <w:tblPrEx>
          <w:shd w:val="clear" w:color="auto" w:fill="FFFFFF"/>
          <w:tblCellMar>
            <w:top w:w="15" w:type="dxa"/>
            <w:left w:w="15" w:type="dxa"/>
            <w:bottom w:w="15" w:type="dxa"/>
            <w:right w:w="15" w:type="dxa"/>
          </w:tblCellMar>
        </w:tblPrEx>
        <w:trPr>
          <w:jc w:val="center"/>
        </w:trPr>
        <w:tc>
          <w:tcPr>
            <w:tcW w:w="3612" w:type="dxa"/>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tcPr>
          <w:p w14:paraId="048AD37B">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中期研学、实习项目</w:t>
            </w:r>
          </w:p>
        </w:tc>
        <w:tc>
          <w:tcPr>
            <w:tcW w:w="2894"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tcPr>
          <w:p w14:paraId="1216D645">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3月以上，9个月以内</w:t>
            </w:r>
          </w:p>
        </w:tc>
        <w:tc>
          <w:tcPr>
            <w:tcW w:w="1887"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tcPr>
          <w:p w14:paraId="262EB5EF">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2</w:t>
            </w:r>
          </w:p>
        </w:tc>
      </w:tr>
      <w:tr w14:paraId="3E001281">
        <w:tblPrEx>
          <w:shd w:val="clear" w:color="auto" w:fill="FFFFFF"/>
          <w:tblCellMar>
            <w:top w:w="15" w:type="dxa"/>
            <w:left w:w="15" w:type="dxa"/>
            <w:bottom w:w="15" w:type="dxa"/>
            <w:right w:w="15" w:type="dxa"/>
          </w:tblCellMar>
        </w:tblPrEx>
        <w:trPr>
          <w:jc w:val="center"/>
        </w:trPr>
        <w:tc>
          <w:tcPr>
            <w:tcW w:w="3612" w:type="dxa"/>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14:paraId="7A4AB2B8">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短期研学、实习项目</w:t>
            </w:r>
          </w:p>
        </w:tc>
        <w:tc>
          <w:tcPr>
            <w:tcW w:w="2894"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14:paraId="13FEBACE">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英国帝国理工学院项目（10天以上），高水平国际研修交流项目(HIREP)</w:t>
            </w:r>
          </w:p>
        </w:tc>
        <w:tc>
          <w:tcPr>
            <w:tcW w:w="1887"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14:paraId="2509D60F">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1</w:t>
            </w:r>
          </w:p>
        </w:tc>
      </w:tr>
    </w:tbl>
    <w:p w14:paraId="6781D107">
      <w:pPr>
        <w:pStyle w:val="5"/>
        <w:widowControl/>
        <w:shd w:val="clear" w:color="auto" w:fill="FFFFFF"/>
        <w:spacing w:beforeAutospacing="0" w:afterAutospacing="0" w:line="600" w:lineRule="exact"/>
        <w:ind w:firstLine="640"/>
        <w:jc w:val="both"/>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说明：</w:t>
      </w:r>
    </w:p>
    <w:p w14:paraId="1796A3A9">
      <w:pPr>
        <w:pStyle w:val="5"/>
        <w:widowControl/>
        <w:shd w:val="clear" w:color="auto" w:fill="FFFFFF"/>
        <w:spacing w:beforeAutospacing="0" w:afterAutospacing="0" w:line="600" w:lineRule="exact"/>
        <w:ind w:firstLine="640"/>
        <w:jc w:val="both"/>
        <w:rPr>
          <w:rFonts w:hint="eastAsia" w:asciiTheme="minorEastAsia" w:hAnsiTheme="minorEastAsia" w:eastAsiaTheme="minorEastAsia" w:cstheme="minorEastAsia"/>
          <w:b/>
          <w:bCs/>
          <w:kern w:val="0"/>
          <w:sz w:val="20"/>
          <w:szCs w:val="20"/>
          <w:highlight w:val="yellow"/>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境外研学相关规定参见《上海海事大学研究生创新人才培养项目管理办法》。</w:t>
      </w:r>
      <w:r>
        <w:rPr>
          <w:rFonts w:hint="eastAsia" w:asciiTheme="minorEastAsia" w:hAnsiTheme="minorEastAsia" w:eastAsiaTheme="minorEastAsia" w:cstheme="minorEastAsia"/>
          <w:b/>
          <w:bCs/>
          <w:kern w:val="0"/>
          <w:sz w:val="20"/>
          <w:szCs w:val="20"/>
          <w:highlight w:val="yellow"/>
          <w:lang w:val="en-US" w:eastAsia="zh-CN" w:bidi="ar-SA"/>
        </w:rPr>
        <w:t>专业型硕士有6个月及以上出国经历以2倍计分</w:t>
      </w:r>
    </w:p>
    <w:p w14:paraId="485E2F78">
      <w:pPr>
        <w:pStyle w:val="5"/>
        <w:widowControl/>
        <w:numPr>
          <w:ilvl w:val="0"/>
          <w:numId w:val="0"/>
        </w:numPr>
        <w:shd w:val="clear" w:color="auto" w:fill="FFFFFF"/>
        <w:spacing w:beforeAutospacing="0" w:afterAutospacing="0" w:line="600" w:lineRule="exact"/>
        <w:jc w:val="both"/>
        <w:rPr>
          <w:rFonts w:hint="eastAsia" w:asciiTheme="minorEastAsia" w:hAnsiTheme="minorEastAsia" w:eastAsiaTheme="minorEastAsia" w:cstheme="minorEastAsia"/>
          <w:b/>
          <w:bCs/>
          <w:kern w:val="0"/>
          <w:sz w:val="20"/>
          <w:szCs w:val="20"/>
          <w:highlight w:val="none"/>
          <w:lang w:val="en-US" w:eastAsia="zh-CN" w:bidi="ar-SA"/>
        </w:rPr>
      </w:pPr>
      <w:r>
        <w:rPr>
          <w:rFonts w:hint="eastAsia" w:asciiTheme="minorEastAsia" w:hAnsiTheme="minorEastAsia" w:eastAsiaTheme="minorEastAsia" w:cstheme="minorEastAsia"/>
          <w:b/>
          <w:bCs/>
          <w:kern w:val="0"/>
          <w:sz w:val="20"/>
          <w:szCs w:val="20"/>
          <w:highlight w:val="none"/>
          <w:lang w:val="en-US" w:eastAsia="zh-CN" w:bidi="ar-SA"/>
        </w:rPr>
        <w:t>（6）学术论文计分标准（单位：分/篇）</w:t>
      </w:r>
    </w:p>
    <w:p w14:paraId="725EA71F">
      <w:pPr>
        <w:pStyle w:val="5"/>
        <w:widowControl/>
        <w:shd w:val="clear" w:color="auto" w:fill="FFFFFF"/>
        <w:spacing w:beforeAutospacing="0" w:afterAutospacing="0" w:line="600" w:lineRule="exact"/>
        <w:ind w:firstLine="640"/>
        <w:jc w:val="both"/>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自然科学类学术论文计分标准</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29"/>
        <w:gridCol w:w="4143"/>
      </w:tblGrid>
      <w:tr w14:paraId="318B8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4329" w:type="dxa"/>
          </w:tcPr>
          <w:p w14:paraId="3597D722">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等级</w:t>
            </w:r>
          </w:p>
        </w:tc>
        <w:tc>
          <w:tcPr>
            <w:tcW w:w="4143" w:type="dxa"/>
          </w:tcPr>
          <w:p w14:paraId="42DE6781">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分/篇</w:t>
            </w:r>
          </w:p>
        </w:tc>
      </w:tr>
      <w:tr w14:paraId="484F0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4329" w:type="dxa"/>
          </w:tcPr>
          <w:p w14:paraId="3BD04760">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A0（science、nature、cell）</w:t>
            </w:r>
          </w:p>
        </w:tc>
        <w:tc>
          <w:tcPr>
            <w:tcW w:w="4143" w:type="dxa"/>
          </w:tcPr>
          <w:p w14:paraId="0A41B74A">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200</w:t>
            </w:r>
          </w:p>
        </w:tc>
      </w:tr>
      <w:tr w14:paraId="79C9B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4329" w:type="dxa"/>
          </w:tcPr>
          <w:p w14:paraId="39A2EB69">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A0（ESI高被引或热点论文）</w:t>
            </w:r>
          </w:p>
        </w:tc>
        <w:tc>
          <w:tcPr>
            <w:tcW w:w="4143" w:type="dxa"/>
          </w:tcPr>
          <w:p w14:paraId="538CD25C">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28</w:t>
            </w:r>
          </w:p>
        </w:tc>
      </w:tr>
      <w:tr w14:paraId="72EFE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4329" w:type="dxa"/>
          </w:tcPr>
          <w:p w14:paraId="6A0C7FBB">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A1</w:t>
            </w:r>
          </w:p>
        </w:tc>
        <w:tc>
          <w:tcPr>
            <w:tcW w:w="4143" w:type="dxa"/>
          </w:tcPr>
          <w:p w14:paraId="1015B54A">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16</w:t>
            </w:r>
          </w:p>
        </w:tc>
      </w:tr>
      <w:tr w14:paraId="6A96B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4329" w:type="dxa"/>
          </w:tcPr>
          <w:p w14:paraId="0E0DBA70">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A2</w:t>
            </w:r>
          </w:p>
        </w:tc>
        <w:tc>
          <w:tcPr>
            <w:tcW w:w="4143" w:type="dxa"/>
          </w:tcPr>
          <w:p w14:paraId="60B80B77">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14</w:t>
            </w:r>
          </w:p>
        </w:tc>
      </w:tr>
      <w:tr w14:paraId="0FC42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4329" w:type="dxa"/>
          </w:tcPr>
          <w:p w14:paraId="3F323D18">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A3</w:t>
            </w:r>
          </w:p>
        </w:tc>
        <w:tc>
          <w:tcPr>
            <w:tcW w:w="4143" w:type="dxa"/>
          </w:tcPr>
          <w:p w14:paraId="4F7B7003">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8</w:t>
            </w:r>
          </w:p>
        </w:tc>
      </w:tr>
      <w:tr w14:paraId="23228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4329" w:type="dxa"/>
          </w:tcPr>
          <w:p w14:paraId="0FE624A3">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A4</w:t>
            </w:r>
          </w:p>
        </w:tc>
        <w:tc>
          <w:tcPr>
            <w:tcW w:w="4143" w:type="dxa"/>
          </w:tcPr>
          <w:p w14:paraId="224EF5CD">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6</w:t>
            </w:r>
          </w:p>
        </w:tc>
      </w:tr>
      <w:tr w14:paraId="725A6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4329" w:type="dxa"/>
          </w:tcPr>
          <w:p w14:paraId="459FBAF9">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B</w:t>
            </w:r>
          </w:p>
        </w:tc>
        <w:tc>
          <w:tcPr>
            <w:tcW w:w="4143" w:type="dxa"/>
          </w:tcPr>
          <w:p w14:paraId="6CE41034">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3</w:t>
            </w:r>
          </w:p>
        </w:tc>
      </w:tr>
      <w:tr w14:paraId="1B107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4329" w:type="dxa"/>
          </w:tcPr>
          <w:p w14:paraId="13F4B076">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C</w:t>
            </w:r>
          </w:p>
        </w:tc>
        <w:tc>
          <w:tcPr>
            <w:tcW w:w="4143" w:type="dxa"/>
          </w:tcPr>
          <w:p w14:paraId="7800270F">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2</w:t>
            </w:r>
          </w:p>
        </w:tc>
      </w:tr>
      <w:tr w14:paraId="4B671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4329" w:type="dxa"/>
          </w:tcPr>
          <w:p w14:paraId="3DB516E6">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D</w:t>
            </w:r>
          </w:p>
        </w:tc>
        <w:tc>
          <w:tcPr>
            <w:tcW w:w="4143" w:type="dxa"/>
          </w:tcPr>
          <w:p w14:paraId="73229C90">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1</w:t>
            </w:r>
          </w:p>
        </w:tc>
      </w:tr>
    </w:tbl>
    <w:p w14:paraId="553453CF">
      <w:pPr>
        <w:pStyle w:val="5"/>
        <w:widowControl/>
        <w:shd w:val="clear" w:color="auto" w:fill="FFFFFF"/>
        <w:spacing w:beforeAutospacing="0" w:afterAutospacing="0" w:line="600" w:lineRule="exact"/>
        <w:ind w:firstLine="640"/>
        <w:jc w:val="both"/>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人文社科类学术论文计分标准</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74"/>
        <w:gridCol w:w="2607"/>
        <w:gridCol w:w="2841"/>
      </w:tblGrid>
      <w:tr w14:paraId="2BACD085">
        <w:tblPrEx>
          <w:tblCellMar>
            <w:top w:w="0" w:type="dxa"/>
            <w:left w:w="108" w:type="dxa"/>
            <w:bottom w:w="0" w:type="dxa"/>
            <w:right w:w="108" w:type="dxa"/>
          </w:tblCellMar>
        </w:tblPrEx>
        <w:tc>
          <w:tcPr>
            <w:tcW w:w="3074" w:type="dxa"/>
          </w:tcPr>
          <w:p w14:paraId="278C5256">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等级</w:t>
            </w:r>
          </w:p>
        </w:tc>
        <w:tc>
          <w:tcPr>
            <w:tcW w:w="2607" w:type="dxa"/>
          </w:tcPr>
          <w:p w14:paraId="6924CF44">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英文（分/篇）</w:t>
            </w:r>
          </w:p>
        </w:tc>
        <w:tc>
          <w:tcPr>
            <w:tcW w:w="2841" w:type="dxa"/>
          </w:tcPr>
          <w:p w14:paraId="1F9C92B4">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中文（分/篇）</w:t>
            </w:r>
          </w:p>
        </w:tc>
      </w:tr>
      <w:tr w14:paraId="0684C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74" w:type="dxa"/>
          </w:tcPr>
          <w:p w14:paraId="1FF0ADB3">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A0</w:t>
            </w:r>
          </w:p>
        </w:tc>
        <w:tc>
          <w:tcPr>
            <w:tcW w:w="2607" w:type="dxa"/>
          </w:tcPr>
          <w:p w14:paraId="4B283D14">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28</w:t>
            </w:r>
          </w:p>
        </w:tc>
        <w:tc>
          <w:tcPr>
            <w:tcW w:w="2841" w:type="dxa"/>
          </w:tcPr>
          <w:p w14:paraId="6F363A57">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200</w:t>
            </w:r>
          </w:p>
        </w:tc>
      </w:tr>
      <w:tr w14:paraId="01E5E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74" w:type="dxa"/>
          </w:tcPr>
          <w:p w14:paraId="651722CE">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A1</w:t>
            </w:r>
          </w:p>
        </w:tc>
        <w:tc>
          <w:tcPr>
            <w:tcW w:w="2607" w:type="dxa"/>
          </w:tcPr>
          <w:p w14:paraId="7D3D43C9">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16</w:t>
            </w:r>
          </w:p>
        </w:tc>
        <w:tc>
          <w:tcPr>
            <w:tcW w:w="2841" w:type="dxa"/>
          </w:tcPr>
          <w:p w14:paraId="18C639F5">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28</w:t>
            </w:r>
          </w:p>
        </w:tc>
      </w:tr>
      <w:tr w14:paraId="307C3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74" w:type="dxa"/>
          </w:tcPr>
          <w:p w14:paraId="33E596B0">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A2</w:t>
            </w:r>
          </w:p>
        </w:tc>
        <w:tc>
          <w:tcPr>
            <w:tcW w:w="2607" w:type="dxa"/>
          </w:tcPr>
          <w:p w14:paraId="03A66DFA">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14</w:t>
            </w:r>
          </w:p>
        </w:tc>
        <w:tc>
          <w:tcPr>
            <w:tcW w:w="2841" w:type="dxa"/>
          </w:tcPr>
          <w:p w14:paraId="0C362508">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20</w:t>
            </w:r>
          </w:p>
        </w:tc>
      </w:tr>
      <w:tr w14:paraId="4EC79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74" w:type="dxa"/>
          </w:tcPr>
          <w:p w14:paraId="1BA36B19">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A3</w:t>
            </w:r>
          </w:p>
        </w:tc>
        <w:tc>
          <w:tcPr>
            <w:tcW w:w="2607" w:type="dxa"/>
          </w:tcPr>
          <w:p w14:paraId="04AFFDF5">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8</w:t>
            </w:r>
          </w:p>
        </w:tc>
        <w:tc>
          <w:tcPr>
            <w:tcW w:w="2841" w:type="dxa"/>
          </w:tcPr>
          <w:p w14:paraId="3A5C0DCE">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12</w:t>
            </w:r>
          </w:p>
        </w:tc>
      </w:tr>
      <w:tr w14:paraId="3CA77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74" w:type="dxa"/>
          </w:tcPr>
          <w:p w14:paraId="10322AE0">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A4</w:t>
            </w:r>
          </w:p>
        </w:tc>
        <w:tc>
          <w:tcPr>
            <w:tcW w:w="2607" w:type="dxa"/>
          </w:tcPr>
          <w:p w14:paraId="5A032D25">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6</w:t>
            </w:r>
          </w:p>
        </w:tc>
        <w:tc>
          <w:tcPr>
            <w:tcW w:w="2841" w:type="dxa"/>
          </w:tcPr>
          <w:p w14:paraId="56AAD9F9">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10</w:t>
            </w:r>
          </w:p>
        </w:tc>
      </w:tr>
      <w:tr w14:paraId="4424C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74" w:type="dxa"/>
          </w:tcPr>
          <w:p w14:paraId="780C43E2">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B</w:t>
            </w:r>
          </w:p>
        </w:tc>
        <w:tc>
          <w:tcPr>
            <w:tcW w:w="2607" w:type="dxa"/>
          </w:tcPr>
          <w:p w14:paraId="51B0BA90">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3</w:t>
            </w:r>
          </w:p>
        </w:tc>
        <w:tc>
          <w:tcPr>
            <w:tcW w:w="2841" w:type="dxa"/>
          </w:tcPr>
          <w:p w14:paraId="70A4B0FD">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8</w:t>
            </w:r>
          </w:p>
        </w:tc>
      </w:tr>
      <w:tr w14:paraId="2098A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3074" w:type="dxa"/>
          </w:tcPr>
          <w:p w14:paraId="37C60E2B">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C</w:t>
            </w:r>
          </w:p>
        </w:tc>
        <w:tc>
          <w:tcPr>
            <w:tcW w:w="2607" w:type="dxa"/>
          </w:tcPr>
          <w:p w14:paraId="357AE02C">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2</w:t>
            </w:r>
          </w:p>
        </w:tc>
        <w:tc>
          <w:tcPr>
            <w:tcW w:w="2841" w:type="dxa"/>
          </w:tcPr>
          <w:p w14:paraId="112AAE25">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6</w:t>
            </w:r>
          </w:p>
        </w:tc>
      </w:tr>
      <w:tr w14:paraId="0E6B5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74" w:type="dxa"/>
          </w:tcPr>
          <w:p w14:paraId="2CC3597C">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D</w:t>
            </w:r>
          </w:p>
        </w:tc>
        <w:tc>
          <w:tcPr>
            <w:tcW w:w="2607" w:type="dxa"/>
          </w:tcPr>
          <w:p w14:paraId="0CCE78B7">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1</w:t>
            </w:r>
          </w:p>
        </w:tc>
        <w:tc>
          <w:tcPr>
            <w:tcW w:w="2841" w:type="dxa"/>
          </w:tcPr>
          <w:p w14:paraId="754DF7A4">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3</w:t>
            </w:r>
          </w:p>
        </w:tc>
      </w:tr>
    </w:tbl>
    <w:p w14:paraId="58E353F0">
      <w:pPr>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left"/>
        <w:textAlignment w:val="auto"/>
        <w:rPr>
          <w:rFonts w:hint="eastAsia" w:asciiTheme="minorEastAsia" w:hAnsiTheme="minorEastAsia" w:eastAsiaTheme="minorEastAsia" w:cstheme="minorEastAsia"/>
          <w:kern w:val="0"/>
          <w:sz w:val="20"/>
          <w:szCs w:val="20"/>
          <w:highlight w:val="none"/>
          <w:lang w:val="en-US" w:eastAsia="zh-CN"/>
        </w:rPr>
      </w:pPr>
      <w:r>
        <w:rPr>
          <w:rFonts w:hint="eastAsia" w:asciiTheme="minorEastAsia" w:hAnsiTheme="minorEastAsia" w:eastAsiaTheme="minorEastAsia" w:cstheme="minorEastAsia"/>
          <w:kern w:val="0"/>
          <w:sz w:val="20"/>
          <w:szCs w:val="20"/>
          <w:highlight w:val="none"/>
          <w:lang w:val="en-US" w:eastAsia="zh-CN"/>
        </w:rPr>
        <w:t>说明：</w:t>
      </w:r>
    </w:p>
    <w:p w14:paraId="169F5A22">
      <w:pPr>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left"/>
        <w:textAlignment w:val="auto"/>
        <w:rPr>
          <w:rFonts w:hint="eastAsia" w:asciiTheme="minorEastAsia" w:hAnsiTheme="minorEastAsia" w:eastAsiaTheme="minorEastAsia" w:cstheme="minorEastAsia"/>
          <w:kern w:val="0"/>
          <w:sz w:val="20"/>
          <w:szCs w:val="20"/>
          <w:highlight w:val="none"/>
          <w:lang w:val="en-US" w:eastAsia="zh-CN"/>
        </w:rPr>
      </w:pPr>
      <w:r>
        <w:rPr>
          <w:rFonts w:hint="eastAsia" w:asciiTheme="minorEastAsia" w:hAnsiTheme="minorEastAsia" w:eastAsiaTheme="minorEastAsia" w:cstheme="minorEastAsia"/>
          <w:kern w:val="0"/>
          <w:sz w:val="20"/>
          <w:szCs w:val="20"/>
          <w:highlight w:val="none"/>
          <w:lang w:val="en-US" w:eastAsia="zh-CN"/>
        </w:rPr>
        <w:t>1.学术论文分级认定标准、等级、目录参照学生手册附件1至3，论文分级认定如有异议，由各学位评定分委员会裁定。</w:t>
      </w:r>
    </w:p>
    <w:p w14:paraId="419F15A0">
      <w:pPr>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left"/>
        <w:textAlignment w:val="auto"/>
        <w:rPr>
          <w:rFonts w:hint="eastAsia" w:asciiTheme="minorEastAsia" w:hAnsiTheme="minorEastAsia" w:eastAsiaTheme="minorEastAsia" w:cstheme="minorEastAsia"/>
          <w:kern w:val="0"/>
          <w:sz w:val="20"/>
          <w:szCs w:val="20"/>
          <w:highlight w:val="none"/>
          <w:lang w:val="en-US" w:eastAsia="zh-CN"/>
        </w:rPr>
      </w:pPr>
      <w:r>
        <w:rPr>
          <w:rFonts w:hint="eastAsia" w:asciiTheme="minorEastAsia" w:hAnsiTheme="minorEastAsia" w:eastAsiaTheme="minorEastAsia" w:cstheme="minorEastAsia"/>
          <w:kern w:val="0"/>
          <w:sz w:val="20"/>
          <w:szCs w:val="20"/>
          <w:highlight w:val="none"/>
          <w:lang w:val="en-US" w:eastAsia="zh-CN"/>
        </w:rPr>
        <w:t>2.列入统计范围的学术论文必须是研究生在学期间已发表（或录用）的，已发表的需提供论文复印件（或在线发表的电子版打印件），已录用的需提供录用通知书复印件、发表费发票复印件及论文全文，已录用的学术论文学位论文答辩前必须见刊。</w:t>
      </w:r>
    </w:p>
    <w:p w14:paraId="3EB7E675">
      <w:pPr>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left"/>
        <w:textAlignment w:val="auto"/>
        <w:rPr>
          <w:rFonts w:hint="eastAsia" w:asciiTheme="minorEastAsia" w:hAnsiTheme="minorEastAsia" w:eastAsiaTheme="minorEastAsia" w:cstheme="minorEastAsia"/>
          <w:kern w:val="0"/>
          <w:sz w:val="20"/>
          <w:szCs w:val="20"/>
          <w:highlight w:val="none"/>
          <w:lang w:val="en-US" w:eastAsia="zh-CN"/>
        </w:rPr>
      </w:pPr>
      <w:r>
        <w:rPr>
          <w:rFonts w:hint="eastAsia" w:asciiTheme="minorEastAsia" w:hAnsiTheme="minorEastAsia" w:eastAsiaTheme="minorEastAsia" w:cstheme="minorEastAsia"/>
          <w:kern w:val="0"/>
          <w:sz w:val="20"/>
          <w:szCs w:val="20"/>
          <w:highlight w:val="none"/>
          <w:lang w:val="en-US" w:eastAsia="zh-CN"/>
        </w:rPr>
        <w:t xml:space="preserve">3.被SCIE、SSCI、A&amp;HCI 收录的文献类型为 article, </w:t>
      </w:r>
    </w:p>
    <w:p w14:paraId="67BC519F">
      <w:pPr>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left"/>
        <w:textAlignment w:val="auto"/>
        <w:rPr>
          <w:rFonts w:hint="eastAsia" w:asciiTheme="minorEastAsia" w:hAnsiTheme="minorEastAsia" w:eastAsiaTheme="minorEastAsia" w:cstheme="minorEastAsia"/>
          <w:kern w:val="0"/>
          <w:sz w:val="20"/>
          <w:szCs w:val="20"/>
          <w:highlight w:val="none"/>
          <w:lang w:val="en-US" w:eastAsia="zh-CN"/>
        </w:rPr>
      </w:pPr>
      <w:r>
        <w:rPr>
          <w:rFonts w:hint="eastAsia" w:asciiTheme="minorEastAsia" w:hAnsiTheme="minorEastAsia" w:eastAsiaTheme="minorEastAsia" w:cstheme="minorEastAsia"/>
          <w:kern w:val="0"/>
          <w:sz w:val="20"/>
          <w:szCs w:val="20"/>
          <w:highlight w:val="none"/>
          <w:lang w:val="en-US" w:eastAsia="zh-CN"/>
        </w:rPr>
        <w:t xml:space="preserve">review, letter, editorial material的论文按期刊论文登记，其中文献类型为editorial material 的论文按计分标准的50%计分；文献类型为proceedings article, meeting </w:t>
      </w:r>
    </w:p>
    <w:p w14:paraId="6FF49937">
      <w:pPr>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left"/>
        <w:textAlignment w:val="auto"/>
        <w:rPr>
          <w:rFonts w:hint="eastAsia" w:asciiTheme="minorEastAsia" w:hAnsiTheme="minorEastAsia" w:eastAsiaTheme="minorEastAsia" w:cstheme="minorEastAsia"/>
          <w:kern w:val="0"/>
          <w:sz w:val="20"/>
          <w:szCs w:val="20"/>
          <w:highlight w:val="none"/>
          <w:lang w:val="en-US" w:eastAsia="zh-CN"/>
        </w:rPr>
      </w:pPr>
      <w:r>
        <w:rPr>
          <w:rFonts w:hint="eastAsia" w:asciiTheme="minorEastAsia" w:hAnsiTheme="minorEastAsia" w:eastAsiaTheme="minorEastAsia" w:cstheme="minorEastAsia"/>
          <w:kern w:val="0"/>
          <w:sz w:val="20"/>
          <w:szCs w:val="20"/>
          <w:highlight w:val="none"/>
          <w:lang w:val="en-US" w:eastAsia="zh-CN"/>
        </w:rPr>
        <w:t>abstract的论文按会议论文登记。被EI收录的文献类型为Journal Article (JA)的论文按期刊论文登记，文献类型为Conference Article (CA)的论文按会议论文登记。</w:t>
      </w:r>
    </w:p>
    <w:p w14:paraId="5E8B2AFF">
      <w:pPr>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left"/>
        <w:textAlignment w:val="auto"/>
        <w:rPr>
          <w:rFonts w:hint="eastAsia" w:asciiTheme="minorEastAsia" w:hAnsiTheme="minorEastAsia" w:eastAsiaTheme="minorEastAsia" w:cstheme="minorEastAsia"/>
          <w:kern w:val="0"/>
          <w:sz w:val="20"/>
          <w:szCs w:val="20"/>
          <w:highlight w:val="none"/>
          <w:lang w:val="en-US" w:eastAsia="zh-CN"/>
        </w:rPr>
      </w:pPr>
      <w:r>
        <w:rPr>
          <w:rFonts w:hint="eastAsia" w:asciiTheme="minorEastAsia" w:hAnsiTheme="minorEastAsia" w:eastAsiaTheme="minorEastAsia" w:cstheme="minorEastAsia"/>
          <w:kern w:val="0"/>
          <w:sz w:val="20"/>
          <w:szCs w:val="20"/>
          <w:highlight w:val="none"/>
          <w:lang w:val="en-US" w:eastAsia="zh-CN"/>
        </w:rPr>
        <w:t xml:space="preserve">4.期刊是指具有刊名、刊号（ISSN）和固定出版周期的连续出版物。正刊是指期刊在其固定出版周期发行的出版 物。增刊（supplement）是指由于某些特定需要，在固定出 版周期之外增加出版的附属于正刊的出版物。特刊/专刊/专 辑（special issue）是指围绕某个特定研究方向的，占用期刊固定刊期或以增刊形式出版的出版物；在期刊固定刊期 上发表的特刊/专刊/专辑论文，其论文等级、计分标准与正刊论文一致；以增刊形式发表的论文，其论文等级与正刊论文一致，其计分标准为正刊论文的50%。 </w:t>
      </w:r>
    </w:p>
    <w:p w14:paraId="498A048E">
      <w:pPr>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left"/>
        <w:textAlignment w:val="auto"/>
        <w:rPr>
          <w:rFonts w:hint="eastAsia" w:asciiTheme="minorEastAsia" w:hAnsiTheme="minorEastAsia" w:eastAsiaTheme="minorEastAsia" w:cstheme="minorEastAsia"/>
          <w:kern w:val="0"/>
          <w:sz w:val="20"/>
          <w:szCs w:val="20"/>
          <w:highlight w:val="none"/>
          <w:lang w:val="en-US" w:eastAsia="zh-CN"/>
        </w:rPr>
      </w:pPr>
      <w:r>
        <w:rPr>
          <w:rFonts w:hint="eastAsia" w:asciiTheme="minorEastAsia" w:hAnsiTheme="minorEastAsia" w:eastAsiaTheme="minorEastAsia" w:cstheme="minorEastAsia"/>
          <w:kern w:val="0"/>
          <w:sz w:val="20"/>
          <w:szCs w:val="20"/>
          <w:highlight w:val="none"/>
          <w:lang w:val="en-US" w:eastAsia="zh-CN"/>
        </w:rPr>
        <w:t>集刊（辑刊）是指具有刊名、书号（ISBN）的连续出版 物。集刊（辑刊）没有刊号，是以书代刊的论文集。集刊（辑 刊）论文按期刊正刊论文进行登记和计分。</w:t>
      </w:r>
    </w:p>
    <w:p w14:paraId="612BD514">
      <w:pPr>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left"/>
        <w:textAlignment w:val="auto"/>
        <w:rPr>
          <w:rFonts w:hint="eastAsia" w:asciiTheme="minorEastAsia" w:hAnsiTheme="minorEastAsia" w:eastAsiaTheme="minorEastAsia" w:cstheme="minorEastAsia"/>
          <w:kern w:val="0"/>
          <w:sz w:val="20"/>
          <w:szCs w:val="20"/>
          <w:highlight w:val="none"/>
          <w:lang w:val="en-US" w:eastAsia="zh-CN"/>
        </w:rPr>
      </w:pPr>
      <w:r>
        <w:rPr>
          <w:rFonts w:hint="eastAsia" w:asciiTheme="minorEastAsia" w:hAnsiTheme="minorEastAsia" w:eastAsiaTheme="minorEastAsia" w:cstheme="minorEastAsia"/>
          <w:kern w:val="0"/>
          <w:sz w:val="20"/>
          <w:szCs w:val="20"/>
          <w:highlight w:val="none"/>
          <w:lang w:val="en-US" w:eastAsia="zh-CN"/>
        </w:rPr>
        <w:t>5.在中科院《国际期刊预警名单》所列期刊上发表的论文不予计分，中科院《国际期刊预警名单》以论文投稿时最新发布的版本为准。</w:t>
      </w:r>
    </w:p>
    <w:p w14:paraId="49B3A496">
      <w:pPr>
        <w:pStyle w:val="5"/>
        <w:widowControl/>
        <w:shd w:val="clear" w:color="auto" w:fill="FFFFFF"/>
        <w:spacing w:beforeAutospacing="0" w:afterAutospacing="0" w:line="600" w:lineRule="exact"/>
        <w:ind w:left="640"/>
        <w:jc w:val="both"/>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（七）报纸理论文章计分标准（单位：分/篇）</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1"/>
        <w:gridCol w:w="6150"/>
        <w:gridCol w:w="1411"/>
      </w:tblGrid>
      <w:tr w14:paraId="600D7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1" w:type="dxa"/>
          </w:tcPr>
          <w:p w14:paraId="63871392">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等级</w:t>
            </w:r>
          </w:p>
        </w:tc>
        <w:tc>
          <w:tcPr>
            <w:tcW w:w="6150" w:type="dxa"/>
          </w:tcPr>
          <w:p w14:paraId="48AD60FE">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类别</w:t>
            </w:r>
          </w:p>
        </w:tc>
        <w:tc>
          <w:tcPr>
            <w:tcW w:w="1411" w:type="dxa"/>
          </w:tcPr>
          <w:p w14:paraId="171C7E03">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分/篇</w:t>
            </w:r>
          </w:p>
        </w:tc>
      </w:tr>
      <w:tr w14:paraId="671A0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1" w:type="dxa"/>
          </w:tcPr>
          <w:p w14:paraId="3CD45350">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A3</w:t>
            </w:r>
          </w:p>
        </w:tc>
        <w:tc>
          <w:tcPr>
            <w:tcW w:w="6150" w:type="dxa"/>
          </w:tcPr>
          <w:p w14:paraId="22457412">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《人民日报》《光明日报》《经济日报》理论版文章</w:t>
            </w:r>
          </w:p>
        </w:tc>
        <w:tc>
          <w:tcPr>
            <w:tcW w:w="1411" w:type="dxa"/>
          </w:tcPr>
          <w:p w14:paraId="4A909D1E">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12</w:t>
            </w:r>
          </w:p>
        </w:tc>
      </w:tr>
      <w:tr w14:paraId="23F5C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1" w:type="dxa"/>
          </w:tcPr>
          <w:p w14:paraId="6AC65207">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B</w:t>
            </w:r>
          </w:p>
        </w:tc>
        <w:tc>
          <w:tcPr>
            <w:tcW w:w="6150" w:type="dxa"/>
          </w:tcPr>
          <w:p w14:paraId="6CB147DE">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《解放军报》理论版文章</w:t>
            </w:r>
          </w:p>
        </w:tc>
        <w:tc>
          <w:tcPr>
            <w:tcW w:w="1411" w:type="dxa"/>
          </w:tcPr>
          <w:p w14:paraId="1FD7E59C">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8</w:t>
            </w:r>
          </w:p>
        </w:tc>
      </w:tr>
      <w:tr w14:paraId="22CC1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1" w:type="dxa"/>
          </w:tcPr>
          <w:p w14:paraId="25D99937">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C</w:t>
            </w:r>
          </w:p>
        </w:tc>
        <w:tc>
          <w:tcPr>
            <w:tcW w:w="6150" w:type="dxa"/>
          </w:tcPr>
          <w:p w14:paraId="29394052">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《解放日报》《中国教育报》《中国社会科学报》《文汇报》理论版文章，省级党委机关报理论版文章</w:t>
            </w:r>
          </w:p>
        </w:tc>
        <w:tc>
          <w:tcPr>
            <w:tcW w:w="1411" w:type="dxa"/>
          </w:tcPr>
          <w:p w14:paraId="141CDEF5">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6</w:t>
            </w:r>
          </w:p>
        </w:tc>
      </w:tr>
    </w:tbl>
    <w:p w14:paraId="7CBD3E64">
      <w:pPr>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left"/>
        <w:textAlignment w:val="auto"/>
        <w:rPr>
          <w:rFonts w:hint="eastAsia" w:asciiTheme="minorEastAsia" w:hAnsiTheme="minorEastAsia" w:eastAsiaTheme="minorEastAsia" w:cstheme="minorEastAsia"/>
          <w:kern w:val="0"/>
          <w:sz w:val="20"/>
          <w:szCs w:val="20"/>
          <w:highlight w:val="none"/>
          <w:lang w:val="en-US" w:eastAsia="zh-CN"/>
        </w:rPr>
      </w:pPr>
      <w:r>
        <w:rPr>
          <w:rFonts w:hint="eastAsia" w:asciiTheme="minorEastAsia" w:hAnsiTheme="minorEastAsia" w:eastAsiaTheme="minorEastAsia" w:cstheme="minorEastAsia"/>
          <w:kern w:val="0"/>
          <w:sz w:val="20"/>
          <w:szCs w:val="20"/>
          <w:highlight w:val="none"/>
          <w:lang w:val="en-US" w:eastAsia="zh-CN"/>
        </w:rPr>
        <w:t>说明：</w:t>
      </w:r>
    </w:p>
    <w:p w14:paraId="53CCFC60">
      <w:pPr>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left"/>
        <w:textAlignment w:val="auto"/>
        <w:rPr>
          <w:rFonts w:hint="eastAsia" w:asciiTheme="minorEastAsia" w:hAnsiTheme="minorEastAsia" w:eastAsiaTheme="minorEastAsia" w:cstheme="minorEastAsia"/>
          <w:kern w:val="0"/>
          <w:sz w:val="20"/>
          <w:szCs w:val="20"/>
          <w:highlight w:val="none"/>
          <w:lang w:val="en-US" w:eastAsia="zh-CN"/>
        </w:rPr>
      </w:pPr>
      <w:r>
        <w:rPr>
          <w:rFonts w:hint="eastAsia" w:asciiTheme="minorEastAsia" w:hAnsiTheme="minorEastAsia" w:eastAsiaTheme="minorEastAsia" w:cstheme="minorEastAsia"/>
          <w:kern w:val="0"/>
          <w:sz w:val="20"/>
          <w:szCs w:val="20"/>
          <w:highlight w:val="none"/>
          <w:lang w:val="en-US" w:eastAsia="zh-CN"/>
        </w:rPr>
        <w:t>1.A、B类报纸理论版文章字数不少于1200字/篇。若字数在800-1200字/篇，按照对应的等级降一级处理。</w:t>
      </w:r>
    </w:p>
    <w:p w14:paraId="332A73FE">
      <w:pPr>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left"/>
        <w:textAlignment w:val="auto"/>
        <w:rPr>
          <w:rFonts w:hint="eastAsia" w:asciiTheme="minorEastAsia" w:hAnsiTheme="minorEastAsia" w:eastAsiaTheme="minorEastAsia" w:cstheme="minorEastAsia"/>
          <w:kern w:val="0"/>
          <w:sz w:val="20"/>
          <w:szCs w:val="20"/>
          <w:highlight w:val="none"/>
          <w:lang w:val="en-US" w:eastAsia="zh-CN"/>
        </w:rPr>
      </w:pPr>
      <w:r>
        <w:rPr>
          <w:rFonts w:hint="eastAsia" w:asciiTheme="minorEastAsia" w:hAnsiTheme="minorEastAsia" w:eastAsiaTheme="minorEastAsia" w:cstheme="minorEastAsia"/>
          <w:kern w:val="0"/>
          <w:sz w:val="20"/>
          <w:szCs w:val="20"/>
          <w:highlight w:val="none"/>
          <w:lang w:val="en-US" w:eastAsia="zh-CN"/>
        </w:rPr>
        <w:t>2.C类报纸理论版文章字数不少于1500字/篇，若字数在800-1500字/篇，按照对应等级降一级处理。</w:t>
      </w:r>
    </w:p>
    <w:p w14:paraId="5DE3E487">
      <w:pPr>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left"/>
        <w:textAlignment w:val="auto"/>
        <w:rPr>
          <w:rFonts w:hint="eastAsia" w:asciiTheme="minorEastAsia" w:hAnsiTheme="minorEastAsia" w:eastAsiaTheme="minorEastAsia" w:cstheme="minorEastAsia"/>
          <w:kern w:val="0"/>
          <w:sz w:val="20"/>
          <w:szCs w:val="20"/>
          <w:highlight w:val="none"/>
          <w:lang w:val="en-US" w:eastAsia="zh-CN"/>
        </w:rPr>
      </w:pPr>
      <w:r>
        <w:rPr>
          <w:rFonts w:hint="eastAsia" w:asciiTheme="minorEastAsia" w:hAnsiTheme="minorEastAsia" w:eastAsiaTheme="minorEastAsia" w:cstheme="minorEastAsia"/>
          <w:kern w:val="0"/>
          <w:sz w:val="20"/>
          <w:szCs w:val="20"/>
          <w:highlight w:val="none"/>
          <w:lang w:val="en-US" w:eastAsia="zh-CN"/>
        </w:rPr>
        <w:t>3.表中800字以下报纸理论版文章统一登记为E类，其余报纸理论文章不予登记。</w:t>
      </w:r>
    </w:p>
    <w:p w14:paraId="3245523A">
      <w:pPr>
        <w:pStyle w:val="5"/>
        <w:widowControl/>
        <w:shd w:val="clear" w:color="auto" w:fill="FFFFFF"/>
        <w:spacing w:beforeAutospacing="0" w:afterAutospacing="0" w:line="600" w:lineRule="exact"/>
        <w:ind w:left="640"/>
        <w:jc w:val="both"/>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（八）决策咨询计分标准（单位：分/篇）</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1"/>
        <w:gridCol w:w="6150"/>
        <w:gridCol w:w="1411"/>
      </w:tblGrid>
      <w:tr w14:paraId="0EE09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1" w:type="dxa"/>
          </w:tcPr>
          <w:p w14:paraId="5F8E4EEB">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等级</w:t>
            </w:r>
          </w:p>
        </w:tc>
        <w:tc>
          <w:tcPr>
            <w:tcW w:w="6150" w:type="dxa"/>
          </w:tcPr>
          <w:p w14:paraId="49B61BAC">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类别</w:t>
            </w:r>
          </w:p>
        </w:tc>
        <w:tc>
          <w:tcPr>
            <w:tcW w:w="1411" w:type="dxa"/>
          </w:tcPr>
          <w:p w14:paraId="5CD74835">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分/篇</w:t>
            </w:r>
          </w:p>
        </w:tc>
      </w:tr>
      <w:tr w14:paraId="7289C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61" w:type="dxa"/>
          </w:tcPr>
          <w:p w14:paraId="16707F84">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A0</w:t>
            </w:r>
          </w:p>
        </w:tc>
        <w:tc>
          <w:tcPr>
            <w:tcW w:w="6150" w:type="dxa"/>
          </w:tcPr>
          <w:p w14:paraId="3C348EA6">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中共中央主要领导重要批示</w:t>
            </w:r>
          </w:p>
        </w:tc>
        <w:tc>
          <w:tcPr>
            <w:tcW w:w="1411" w:type="dxa"/>
          </w:tcPr>
          <w:p w14:paraId="32565DC4">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200</w:t>
            </w:r>
          </w:p>
        </w:tc>
      </w:tr>
      <w:tr w14:paraId="1F7AE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1" w:type="dxa"/>
          </w:tcPr>
          <w:p w14:paraId="59700B41">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A0</w:t>
            </w:r>
          </w:p>
        </w:tc>
        <w:tc>
          <w:tcPr>
            <w:tcW w:w="6150" w:type="dxa"/>
          </w:tcPr>
          <w:p w14:paraId="16600E65">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中共中央政治局常委批示</w:t>
            </w:r>
          </w:p>
        </w:tc>
        <w:tc>
          <w:tcPr>
            <w:tcW w:w="1411" w:type="dxa"/>
          </w:tcPr>
          <w:p w14:paraId="43DFC25E">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100</w:t>
            </w:r>
          </w:p>
        </w:tc>
      </w:tr>
      <w:tr w14:paraId="51E00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1" w:type="dxa"/>
          </w:tcPr>
          <w:p w14:paraId="6B759E89">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A1</w:t>
            </w:r>
          </w:p>
        </w:tc>
        <w:tc>
          <w:tcPr>
            <w:tcW w:w="6150" w:type="dxa"/>
          </w:tcPr>
          <w:p w14:paraId="1E7835F5">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其他党和国家领导人批示</w:t>
            </w:r>
          </w:p>
        </w:tc>
        <w:tc>
          <w:tcPr>
            <w:tcW w:w="1411" w:type="dxa"/>
          </w:tcPr>
          <w:p w14:paraId="7C1765D1">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28</w:t>
            </w:r>
          </w:p>
        </w:tc>
      </w:tr>
      <w:tr w14:paraId="0BD79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1" w:type="dxa"/>
          </w:tcPr>
          <w:p w14:paraId="57420E53">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A2</w:t>
            </w:r>
          </w:p>
        </w:tc>
        <w:tc>
          <w:tcPr>
            <w:tcW w:w="6150" w:type="dxa"/>
          </w:tcPr>
          <w:p w14:paraId="2F8A551B">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中共中央、国务院、全国人大、全国政协内参决策采纳</w:t>
            </w:r>
          </w:p>
        </w:tc>
        <w:tc>
          <w:tcPr>
            <w:tcW w:w="1411" w:type="dxa"/>
          </w:tcPr>
          <w:p w14:paraId="2EEC2E5E">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20</w:t>
            </w:r>
          </w:p>
        </w:tc>
      </w:tr>
      <w:tr w14:paraId="5CB43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1" w:type="dxa"/>
          </w:tcPr>
          <w:p w14:paraId="4336952E">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A2</w:t>
            </w:r>
          </w:p>
        </w:tc>
        <w:tc>
          <w:tcPr>
            <w:tcW w:w="6150" w:type="dxa"/>
          </w:tcPr>
          <w:p w14:paraId="376A6211">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国际组织采纳并列入决议或通函</w:t>
            </w:r>
          </w:p>
        </w:tc>
        <w:tc>
          <w:tcPr>
            <w:tcW w:w="1411" w:type="dxa"/>
          </w:tcPr>
          <w:p w14:paraId="18D2E45D">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20</w:t>
            </w:r>
          </w:p>
        </w:tc>
      </w:tr>
      <w:tr w14:paraId="35E49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1" w:type="dxa"/>
          </w:tcPr>
          <w:p w14:paraId="46D6E138">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A3</w:t>
            </w:r>
          </w:p>
        </w:tc>
        <w:tc>
          <w:tcPr>
            <w:tcW w:w="6150" w:type="dxa"/>
          </w:tcPr>
          <w:p w14:paraId="1441BD21">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正部（省）级领导批示</w:t>
            </w:r>
          </w:p>
        </w:tc>
        <w:tc>
          <w:tcPr>
            <w:tcW w:w="1411" w:type="dxa"/>
          </w:tcPr>
          <w:p w14:paraId="002F0BE1">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12</w:t>
            </w:r>
          </w:p>
        </w:tc>
      </w:tr>
      <w:tr w14:paraId="07F0D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1" w:type="dxa"/>
          </w:tcPr>
          <w:p w14:paraId="71049EE6">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B</w:t>
            </w:r>
          </w:p>
        </w:tc>
        <w:tc>
          <w:tcPr>
            <w:tcW w:w="6150" w:type="dxa"/>
          </w:tcPr>
          <w:p w14:paraId="5CB852EE">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副部（省）级领导批示</w:t>
            </w:r>
          </w:p>
        </w:tc>
        <w:tc>
          <w:tcPr>
            <w:tcW w:w="1411" w:type="dxa"/>
          </w:tcPr>
          <w:p w14:paraId="0AFEB3E0">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8</w:t>
            </w:r>
          </w:p>
        </w:tc>
      </w:tr>
      <w:tr w14:paraId="68CB5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1" w:type="dxa"/>
          </w:tcPr>
          <w:p w14:paraId="17C67089">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B</w:t>
            </w:r>
          </w:p>
        </w:tc>
        <w:tc>
          <w:tcPr>
            <w:tcW w:w="6150" w:type="dxa"/>
          </w:tcPr>
          <w:p w14:paraId="57831B8C">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国际组织采纳但未列入决议或通函</w:t>
            </w:r>
          </w:p>
        </w:tc>
        <w:tc>
          <w:tcPr>
            <w:tcW w:w="1411" w:type="dxa"/>
          </w:tcPr>
          <w:p w14:paraId="777F176E">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8</w:t>
            </w:r>
          </w:p>
        </w:tc>
      </w:tr>
      <w:tr w14:paraId="32FD5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1" w:type="dxa"/>
          </w:tcPr>
          <w:p w14:paraId="3F4EC1CE">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B</w:t>
            </w:r>
          </w:p>
        </w:tc>
        <w:tc>
          <w:tcPr>
            <w:tcW w:w="6150" w:type="dxa"/>
          </w:tcPr>
          <w:p w14:paraId="6870EA14">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中央有关部委主办的内参（刊）收录</w:t>
            </w:r>
          </w:p>
        </w:tc>
        <w:tc>
          <w:tcPr>
            <w:tcW w:w="1411" w:type="dxa"/>
          </w:tcPr>
          <w:p w14:paraId="64050EB7">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8</w:t>
            </w:r>
          </w:p>
        </w:tc>
      </w:tr>
      <w:tr w14:paraId="5155C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1" w:type="dxa"/>
          </w:tcPr>
          <w:p w14:paraId="3738CC2E">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C</w:t>
            </w:r>
          </w:p>
        </w:tc>
        <w:tc>
          <w:tcPr>
            <w:tcW w:w="6150" w:type="dxa"/>
          </w:tcPr>
          <w:p w14:paraId="53F3A0E1">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国家有关部委和省市主办的内参（刊）收录或省部级机构采纳</w:t>
            </w:r>
          </w:p>
        </w:tc>
        <w:tc>
          <w:tcPr>
            <w:tcW w:w="1411" w:type="dxa"/>
          </w:tcPr>
          <w:p w14:paraId="7032762D">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6</w:t>
            </w:r>
          </w:p>
        </w:tc>
      </w:tr>
    </w:tbl>
    <w:p w14:paraId="5F30A496">
      <w:pPr>
        <w:pStyle w:val="5"/>
        <w:widowControl/>
        <w:shd w:val="clear" w:color="auto" w:fill="FFFFFF"/>
        <w:spacing w:beforeAutospacing="0" w:afterAutospacing="0" w:line="600" w:lineRule="exact"/>
        <w:ind w:firstLine="640"/>
        <w:jc w:val="both"/>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说明：</w:t>
      </w:r>
    </w:p>
    <w:p w14:paraId="3BD5CC97">
      <w:pPr>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left"/>
        <w:textAlignment w:val="auto"/>
        <w:rPr>
          <w:rFonts w:hint="eastAsia" w:asciiTheme="minorEastAsia" w:hAnsiTheme="minorEastAsia" w:eastAsiaTheme="minorEastAsia" w:cstheme="minorEastAsia"/>
          <w:kern w:val="0"/>
          <w:sz w:val="20"/>
          <w:szCs w:val="20"/>
          <w:highlight w:val="none"/>
          <w:lang w:val="en-US" w:eastAsia="zh-CN"/>
        </w:rPr>
      </w:pPr>
      <w:r>
        <w:rPr>
          <w:rFonts w:hint="eastAsia" w:asciiTheme="minorEastAsia" w:hAnsiTheme="minorEastAsia" w:eastAsiaTheme="minorEastAsia" w:cstheme="minorEastAsia"/>
          <w:kern w:val="0"/>
          <w:sz w:val="20"/>
          <w:szCs w:val="20"/>
          <w:highlight w:val="none"/>
          <w:lang w:val="en-US" w:eastAsia="zh-CN"/>
        </w:rPr>
        <w:t>1.“省部级机构采纳”包括被中央有关部委、国务院有关部委、上海市委、市政府、市人大、市政协及其他省政府机构采纳。</w:t>
      </w:r>
    </w:p>
    <w:p w14:paraId="536D68A0">
      <w:pPr>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left"/>
        <w:textAlignment w:val="auto"/>
        <w:rPr>
          <w:rFonts w:hint="eastAsia" w:asciiTheme="minorEastAsia" w:hAnsiTheme="minorEastAsia" w:eastAsiaTheme="minorEastAsia" w:cstheme="minorEastAsia"/>
          <w:kern w:val="0"/>
          <w:sz w:val="20"/>
          <w:szCs w:val="20"/>
          <w:highlight w:val="none"/>
          <w:lang w:val="en-US" w:eastAsia="zh-CN"/>
        </w:rPr>
      </w:pPr>
      <w:r>
        <w:rPr>
          <w:rFonts w:hint="eastAsia" w:asciiTheme="minorEastAsia" w:hAnsiTheme="minorEastAsia" w:eastAsiaTheme="minorEastAsia" w:cstheme="minorEastAsia"/>
          <w:kern w:val="0"/>
          <w:sz w:val="20"/>
          <w:szCs w:val="20"/>
          <w:highlight w:val="none"/>
          <w:lang w:val="en-US" w:eastAsia="zh-CN"/>
        </w:rPr>
        <w:t>2.中央有关部委主办的内参（刊）是指中央办公厅《观点摘编》、国务院办公厅《要情摘报》、中央宣传部《成果要报》、中央外事工作委员会办公室《参阅文件》《海权要报》、中央统战部《零讯》、新华社《动态清样》《动态清样（附页）》、《人民日报内参》等。</w:t>
      </w:r>
    </w:p>
    <w:p w14:paraId="0B3FDC05">
      <w:pPr>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left"/>
        <w:textAlignment w:val="auto"/>
        <w:rPr>
          <w:rFonts w:hint="eastAsia" w:asciiTheme="minorEastAsia" w:hAnsiTheme="minorEastAsia" w:eastAsiaTheme="minorEastAsia" w:cstheme="minorEastAsia"/>
          <w:kern w:val="0"/>
          <w:sz w:val="20"/>
          <w:szCs w:val="20"/>
          <w:highlight w:val="none"/>
          <w:lang w:val="en-US" w:eastAsia="zh-CN"/>
        </w:rPr>
      </w:pPr>
      <w:r>
        <w:rPr>
          <w:rFonts w:hint="eastAsia" w:asciiTheme="minorEastAsia" w:hAnsiTheme="minorEastAsia" w:eastAsiaTheme="minorEastAsia" w:cstheme="minorEastAsia"/>
          <w:kern w:val="0"/>
          <w:sz w:val="20"/>
          <w:szCs w:val="20"/>
          <w:highlight w:val="none"/>
          <w:lang w:val="en-US" w:eastAsia="zh-CN"/>
        </w:rPr>
        <w:t>3.国家有关部委和省市主办的内参（刊）是指交通运输部《交通智库建言》《交通智库专报》《改革与政策研究》、教育部《高校智库专刊》、中国法学会《成果要报》、中国航海学会《中国航海智库建言》、中国贸促会《信息专报》、上海市人民政府发展研究中心《决策咨询》、上海市哲学社会科学规划办公室《成果要报》、上海市教卫工作党委《教卫情况专报》等。</w:t>
      </w:r>
    </w:p>
    <w:p w14:paraId="46A27932">
      <w:pPr>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left"/>
        <w:textAlignment w:val="auto"/>
        <w:rPr>
          <w:rFonts w:hint="eastAsia" w:asciiTheme="minorEastAsia" w:hAnsiTheme="minorEastAsia" w:eastAsiaTheme="minorEastAsia" w:cstheme="minorEastAsia"/>
          <w:kern w:val="0"/>
          <w:sz w:val="20"/>
          <w:szCs w:val="20"/>
          <w:highlight w:val="none"/>
          <w:lang w:val="en-US" w:eastAsia="zh-CN"/>
        </w:rPr>
      </w:pPr>
      <w:r>
        <w:rPr>
          <w:rFonts w:hint="eastAsia" w:asciiTheme="minorEastAsia" w:hAnsiTheme="minorEastAsia" w:eastAsiaTheme="minorEastAsia" w:cstheme="minorEastAsia"/>
          <w:kern w:val="0"/>
          <w:sz w:val="20"/>
          <w:szCs w:val="20"/>
          <w:highlight w:val="none"/>
          <w:lang w:val="en-US" w:eastAsia="zh-CN"/>
        </w:rPr>
        <w:t>4.决策咨询成果被批示、采纳或被内参（刊）收录的，</w:t>
      </w:r>
    </w:p>
    <w:p w14:paraId="45536909">
      <w:pPr>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left"/>
        <w:textAlignment w:val="auto"/>
        <w:rPr>
          <w:rFonts w:hint="eastAsia" w:asciiTheme="minorEastAsia" w:hAnsiTheme="minorEastAsia" w:eastAsiaTheme="minorEastAsia" w:cstheme="minorEastAsia"/>
          <w:kern w:val="0"/>
          <w:sz w:val="20"/>
          <w:szCs w:val="20"/>
          <w:highlight w:val="none"/>
          <w:lang w:val="en-US" w:eastAsia="zh-CN"/>
        </w:rPr>
      </w:pPr>
      <w:r>
        <w:rPr>
          <w:rFonts w:hint="eastAsia" w:asciiTheme="minorEastAsia" w:hAnsiTheme="minorEastAsia" w:eastAsiaTheme="minorEastAsia" w:cstheme="minorEastAsia"/>
          <w:kern w:val="0"/>
          <w:sz w:val="20"/>
          <w:szCs w:val="20"/>
          <w:highlight w:val="none"/>
          <w:lang w:val="en-US" w:eastAsia="zh-CN"/>
        </w:rPr>
        <w:t>须提供成果原件或有效证明。</w:t>
      </w:r>
    </w:p>
    <w:p w14:paraId="55D86033">
      <w:pPr>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left"/>
        <w:textAlignment w:val="auto"/>
        <w:rPr>
          <w:rFonts w:hint="eastAsia" w:asciiTheme="minorEastAsia" w:hAnsiTheme="minorEastAsia" w:eastAsiaTheme="minorEastAsia" w:cstheme="minorEastAsia"/>
          <w:kern w:val="0"/>
          <w:sz w:val="20"/>
          <w:szCs w:val="20"/>
          <w:highlight w:val="none"/>
          <w:lang w:val="en-US" w:eastAsia="zh-CN"/>
        </w:rPr>
      </w:pPr>
      <w:r>
        <w:rPr>
          <w:rFonts w:hint="eastAsia" w:asciiTheme="minorEastAsia" w:hAnsiTheme="minorEastAsia" w:eastAsiaTheme="minorEastAsia" w:cstheme="minorEastAsia"/>
          <w:kern w:val="0"/>
          <w:sz w:val="20"/>
          <w:szCs w:val="20"/>
          <w:highlight w:val="none"/>
          <w:lang w:val="en-US" w:eastAsia="zh-CN"/>
        </w:rPr>
        <w:t>（九）其他成果计分标准（单位：分/项）</w:t>
      </w:r>
    </w:p>
    <w:tbl>
      <w:tblPr>
        <w:tblStyle w:val="6"/>
        <w:tblW w:w="9945" w:type="dxa"/>
        <w:jc w:val="center"/>
        <w:shd w:val="clear" w:color="auto" w:fill="FFFFFF"/>
        <w:tblLayout w:type="autofit"/>
        <w:tblCellMar>
          <w:top w:w="15" w:type="dxa"/>
          <w:left w:w="15" w:type="dxa"/>
          <w:bottom w:w="15" w:type="dxa"/>
          <w:right w:w="15" w:type="dxa"/>
        </w:tblCellMar>
      </w:tblPr>
      <w:tblGrid>
        <w:gridCol w:w="1755"/>
        <w:gridCol w:w="4920"/>
        <w:gridCol w:w="930"/>
        <w:gridCol w:w="2340"/>
      </w:tblGrid>
      <w:tr w14:paraId="642CA8F1">
        <w:tblPrEx>
          <w:shd w:val="clear" w:color="auto" w:fill="FFFFFF"/>
          <w:tblCellMar>
            <w:top w:w="15" w:type="dxa"/>
            <w:left w:w="15" w:type="dxa"/>
            <w:bottom w:w="15" w:type="dxa"/>
            <w:right w:w="15" w:type="dxa"/>
          </w:tblCellMar>
        </w:tblPrEx>
        <w:trPr>
          <w:trHeight w:val="286" w:hRule="atLeast"/>
          <w:jc w:val="center"/>
        </w:trPr>
        <w:tc>
          <w:tcPr>
            <w:tcW w:w="1755" w:type="dxa"/>
            <w:tcBorders>
              <w:top w:val="single" w:color="000000" w:sz="6" w:space="0"/>
              <w:left w:val="single" w:color="000000" w:sz="6" w:space="0"/>
              <w:bottom w:val="single" w:color="000000" w:sz="6" w:space="0"/>
              <w:right w:val="single" w:color="000000" w:sz="6" w:space="0"/>
            </w:tcBorders>
            <w:shd w:val="clear" w:color="auto" w:fill="FFFFFF"/>
            <w:tcMar>
              <w:top w:w="0" w:type="dxa"/>
              <w:left w:w="105" w:type="dxa"/>
              <w:bottom w:w="0" w:type="dxa"/>
              <w:right w:w="105" w:type="dxa"/>
            </w:tcMar>
          </w:tcPr>
          <w:p w14:paraId="73B572B2">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成果种类</w:t>
            </w:r>
          </w:p>
        </w:tc>
        <w:tc>
          <w:tcPr>
            <w:tcW w:w="4920" w:type="dxa"/>
            <w:tcBorders>
              <w:top w:val="single" w:color="000000" w:sz="6" w:space="0"/>
              <w:left w:val="nil"/>
              <w:bottom w:val="single" w:color="000000" w:sz="6" w:space="0"/>
              <w:right w:val="single" w:color="000000" w:sz="6" w:space="0"/>
            </w:tcBorders>
            <w:shd w:val="clear" w:color="auto" w:fill="FFFFFF"/>
            <w:tcMar>
              <w:top w:w="0" w:type="dxa"/>
              <w:left w:w="105" w:type="dxa"/>
              <w:bottom w:w="0" w:type="dxa"/>
              <w:right w:w="105" w:type="dxa"/>
            </w:tcMar>
          </w:tcPr>
          <w:p w14:paraId="1328DB3A">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成果范畴</w:t>
            </w:r>
          </w:p>
        </w:tc>
        <w:tc>
          <w:tcPr>
            <w:tcW w:w="930" w:type="dxa"/>
            <w:tcBorders>
              <w:top w:val="single" w:color="000000" w:sz="6" w:space="0"/>
              <w:left w:val="nil"/>
              <w:bottom w:val="single" w:color="000000" w:sz="6" w:space="0"/>
              <w:right w:val="single" w:color="000000" w:sz="6" w:space="0"/>
            </w:tcBorders>
            <w:shd w:val="clear" w:color="auto" w:fill="FFFFFF"/>
            <w:tcMar>
              <w:top w:w="0" w:type="dxa"/>
              <w:left w:w="105" w:type="dxa"/>
              <w:bottom w:w="0" w:type="dxa"/>
              <w:right w:w="105" w:type="dxa"/>
            </w:tcMar>
          </w:tcPr>
          <w:p w14:paraId="5084F9BE">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标准分</w:t>
            </w:r>
          </w:p>
        </w:tc>
        <w:tc>
          <w:tcPr>
            <w:tcW w:w="2340" w:type="dxa"/>
            <w:tcBorders>
              <w:top w:val="single" w:color="000000" w:sz="6" w:space="0"/>
              <w:left w:val="nil"/>
              <w:bottom w:val="single" w:color="000000" w:sz="6" w:space="0"/>
              <w:right w:val="single" w:color="000000" w:sz="6" w:space="0"/>
            </w:tcBorders>
            <w:shd w:val="clear" w:color="auto" w:fill="FFFFFF"/>
            <w:tcMar>
              <w:top w:w="0" w:type="dxa"/>
              <w:left w:w="105" w:type="dxa"/>
              <w:bottom w:w="0" w:type="dxa"/>
              <w:right w:w="105" w:type="dxa"/>
            </w:tcMar>
          </w:tcPr>
          <w:p w14:paraId="2D5E47AD">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备注</w:t>
            </w:r>
          </w:p>
        </w:tc>
      </w:tr>
      <w:tr w14:paraId="256E4C78">
        <w:tblPrEx>
          <w:shd w:val="clear" w:color="auto" w:fill="FFFFFF"/>
          <w:tblCellMar>
            <w:top w:w="15" w:type="dxa"/>
            <w:left w:w="15" w:type="dxa"/>
            <w:bottom w:w="15" w:type="dxa"/>
            <w:right w:w="15" w:type="dxa"/>
          </w:tblCellMar>
        </w:tblPrEx>
        <w:trPr>
          <w:trHeight w:val="91" w:hRule="atLeast"/>
          <w:jc w:val="center"/>
        </w:trPr>
        <w:tc>
          <w:tcPr>
            <w:tcW w:w="1755" w:type="dxa"/>
            <w:vMerge w:val="restart"/>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14:paraId="63CA28C3">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研究生学术论坛</w:t>
            </w:r>
          </w:p>
        </w:tc>
        <w:tc>
          <w:tcPr>
            <w:tcW w:w="4920"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14:paraId="12C88E4D">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上海市级研究生学术论坛（二等奖及以上）</w:t>
            </w:r>
          </w:p>
        </w:tc>
        <w:tc>
          <w:tcPr>
            <w:tcW w:w="930"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14:paraId="1518813D">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2</w:t>
            </w:r>
          </w:p>
        </w:tc>
        <w:tc>
          <w:tcPr>
            <w:tcW w:w="2340" w:type="dxa"/>
            <w:vMerge w:val="restart"/>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14:paraId="5C5B3C8B">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本校举办的研究生创新学术论坛一等奖及以上获奖人数不得超过获奖人数总数的25%。</w:t>
            </w:r>
          </w:p>
        </w:tc>
      </w:tr>
      <w:tr w14:paraId="5C92C3C4">
        <w:tblPrEx>
          <w:shd w:val="clear" w:color="auto" w:fill="FFFFFF"/>
          <w:tblCellMar>
            <w:top w:w="15" w:type="dxa"/>
            <w:left w:w="15" w:type="dxa"/>
            <w:bottom w:w="15" w:type="dxa"/>
            <w:right w:w="15" w:type="dxa"/>
          </w:tblCellMar>
        </w:tblPrEx>
        <w:trPr>
          <w:trHeight w:val="91" w:hRule="atLeast"/>
          <w:jc w:val="center"/>
        </w:trPr>
        <w:tc>
          <w:tcPr>
            <w:tcW w:w="1755" w:type="dxa"/>
            <w:vMerge w:val="continue"/>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14:paraId="29D4D544">
            <w:pPr>
              <w:spacing w:line="600" w:lineRule="exact"/>
              <w:jc w:val="center"/>
              <w:rPr>
                <w:rFonts w:hint="eastAsia" w:asciiTheme="minorEastAsia" w:hAnsiTheme="minorEastAsia" w:eastAsiaTheme="minorEastAsia" w:cstheme="minorEastAsia"/>
                <w:kern w:val="0"/>
                <w:sz w:val="20"/>
                <w:szCs w:val="20"/>
                <w:highlight w:val="none"/>
                <w:lang w:val="en-US" w:eastAsia="zh-CN" w:bidi="ar-SA"/>
              </w:rPr>
            </w:pPr>
          </w:p>
        </w:tc>
        <w:tc>
          <w:tcPr>
            <w:tcW w:w="4920"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14:paraId="33F4FB33">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上海市级研究生学术论坛（三等奖）</w:t>
            </w:r>
          </w:p>
        </w:tc>
        <w:tc>
          <w:tcPr>
            <w:tcW w:w="930"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14:paraId="7AACC776">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1</w:t>
            </w:r>
          </w:p>
        </w:tc>
        <w:tc>
          <w:tcPr>
            <w:tcW w:w="2340" w:type="dxa"/>
            <w:vMerge w:val="continue"/>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14:paraId="70981938">
            <w:pPr>
              <w:spacing w:line="600" w:lineRule="exact"/>
              <w:jc w:val="center"/>
              <w:rPr>
                <w:rFonts w:hint="eastAsia" w:asciiTheme="minorEastAsia" w:hAnsiTheme="minorEastAsia" w:eastAsiaTheme="minorEastAsia" w:cstheme="minorEastAsia"/>
                <w:kern w:val="0"/>
                <w:sz w:val="20"/>
                <w:szCs w:val="20"/>
                <w:highlight w:val="none"/>
                <w:lang w:val="en-US" w:eastAsia="zh-CN" w:bidi="ar-SA"/>
              </w:rPr>
            </w:pPr>
          </w:p>
        </w:tc>
      </w:tr>
      <w:tr w14:paraId="2925A378">
        <w:tblPrEx>
          <w:shd w:val="clear" w:color="auto" w:fill="FFFFFF"/>
          <w:tblCellMar>
            <w:top w:w="15" w:type="dxa"/>
            <w:left w:w="15" w:type="dxa"/>
            <w:bottom w:w="15" w:type="dxa"/>
            <w:right w:w="15" w:type="dxa"/>
          </w:tblCellMar>
        </w:tblPrEx>
        <w:trPr>
          <w:trHeight w:val="91" w:hRule="atLeast"/>
          <w:jc w:val="center"/>
        </w:trPr>
        <w:tc>
          <w:tcPr>
            <w:tcW w:w="1755" w:type="dxa"/>
            <w:vMerge w:val="continue"/>
            <w:tcBorders>
              <w:top w:val="nil"/>
              <w:left w:val="single" w:color="000000" w:sz="6" w:space="0"/>
              <w:bottom w:val="single" w:color="000000" w:sz="6" w:space="0"/>
              <w:right w:val="single" w:color="000000" w:sz="6" w:space="0"/>
            </w:tcBorders>
            <w:shd w:val="clear" w:color="auto" w:fill="FFFFFF"/>
            <w:tcMar>
              <w:top w:w="0" w:type="dxa"/>
              <w:left w:w="105" w:type="dxa"/>
              <w:bottom w:w="0" w:type="dxa"/>
              <w:right w:w="105" w:type="dxa"/>
            </w:tcMar>
            <w:vAlign w:val="center"/>
          </w:tcPr>
          <w:p w14:paraId="178E6D14">
            <w:pPr>
              <w:spacing w:line="600" w:lineRule="exact"/>
              <w:jc w:val="center"/>
              <w:rPr>
                <w:rFonts w:hint="eastAsia" w:asciiTheme="minorEastAsia" w:hAnsiTheme="minorEastAsia" w:eastAsiaTheme="minorEastAsia" w:cstheme="minorEastAsia"/>
                <w:kern w:val="0"/>
                <w:sz w:val="20"/>
                <w:szCs w:val="20"/>
                <w:highlight w:val="none"/>
                <w:lang w:val="en-US" w:eastAsia="zh-CN" w:bidi="ar-SA"/>
              </w:rPr>
            </w:pPr>
          </w:p>
        </w:tc>
        <w:tc>
          <w:tcPr>
            <w:tcW w:w="4920"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14:paraId="7E6F1107">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本校举办的研究生创新学术论坛（一等奖及以上）</w:t>
            </w:r>
          </w:p>
        </w:tc>
        <w:tc>
          <w:tcPr>
            <w:tcW w:w="930"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14:paraId="41CFD711">
            <w:pPr>
              <w:pStyle w:val="5"/>
              <w:widowControl/>
              <w:spacing w:beforeAutospacing="0" w:afterAutospacing="0" w:line="600" w:lineRule="exact"/>
              <w:jc w:val="center"/>
              <w:rPr>
                <w:rFonts w:hint="eastAsia" w:asciiTheme="minorEastAsia" w:hAnsiTheme="minorEastAsia" w:eastAsiaTheme="minorEastAsia" w:cstheme="minorEastAsia"/>
                <w:kern w:val="0"/>
                <w:sz w:val="20"/>
                <w:szCs w:val="20"/>
                <w:highlight w:val="none"/>
                <w:lang w:val="en-US" w:eastAsia="zh-CN" w:bidi="ar-SA"/>
              </w:rPr>
            </w:pPr>
            <w:r>
              <w:rPr>
                <w:rFonts w:hint="eastAsia" w:asciiTheme="minorEastAsia" w:hAnsiTheme="minorEastAsia" w:eastAsiaTheme="minorEastAsia" w:cstheme="minorEastAsia"/>
                <w:kern w:val="0"/>
                <w:sz w:val="20"/>
                <w:szCs w:val="20"/>
                <w:highlight w:val="none"/>
                <w:lang w:val="en-US" w:eastAsia="zh-CN" w:bidi="ar-SA"/>
              </w:rPr>
              <w:t>1</w:t>
            </w:r>
          </w:p>
        </w:tc>
        <w:tc>
          <w:tcPr>
            <w:tcW w:w="2340" w:type="dxa"/>
            <w:vMerge w:val="continue"/>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14:paraId="37D9BD24">
            <w:pPr>
              <w:spacing w:line="600" w:lineRule="exact"/>
              <w:jc w:val="center"/>
              <w:rPr>
                <w:rFonts w:hint="eastAsia" w:asciiTheme="minorEastAsia" w:hAnsiTheme="minorEastAsia" w:eastAsiaTheme="minorEastAsia" w:cstheme="minorEastAsia"/>
                <w:kern w:val="0"/>
                <w:sz w:val="20"/>
                <w:szCs w:val="20"/>
                <w:highlight w:val="none"/>
                <w:lang w:val="en-US" w:eastAsia="zh-CN" w:bidi="ar-SA"/>
              </w:rPr>
            </w:pPr>
          </w:p>
        </w:tc>
      </w:tr>
    </w:tbl>
    <w:p w14:paraId="45A1D1C6">
      <w:pPr>
        <w:keepNext w:val="0"/>
        <w:keepLines w:val="0"/>
        <w:pageBreakBefore w:val="0"/>
        <w:widowControl w:val="0"/>
        <w:kinsoku/>
        <w:wordWrap/>
        <w:overflowPunct/>
        <w:topLinePunct w:val="0"/>
        <w:autoSpaceDE/>
        <w:autoSpaceDN/>
        <w:bidi w:val="0"/>
        <w:adjustRightInd/>
        <w:snapToGrid/>
        <w:spacing w:line="300" w:lineRule="auto"/>
        <w:ind w:left="0" w:leftChars="0" w:firstLine="400" w:firstLineChars="200"/>
        <w:textAlignment w:val="auto"/>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sz w:val="20"/>
          <w:szCs w:val="20"/>
          <w:highlight w:val="none"/>
          <w:lang w:val="en-US" w:eastAsia="zh-CN"/>
        </w:rPr>
        <w:t>4</w:t>
      </w:r>
      <w:r>
        <w:rPr>
          <w:rFonts w:hint="eastAsia" w:asciiTheme="minorEastAsia" w:hAnsiTheme="minorEastAsia" w:eastAsiaTheme="minorEastAsia" w:cstheme="minorEastAsia"/>
          <w:sz w:val="20"/>
          <w:szCs w:val="20"/>
          <w:highlight w:val="none"/>
        </w:rPr>
        <w:t>.</w:t>
      </w:r>
      <w:r>
        <w:rPr>
          <w:rFonts w:hint="eastAsia" w:asciiTheme="minorEastAsia" w:hAnsiTheme="minorEastAsia" w:eastAsiaTheme="minorEastAsia" w:cstheme="minorEastAsia"/>
          <w:kern w:val="0"/>
          <w:sz w:val="20"/>
          <w:szCs w:val="20"/>
          <w:highlight w:val="none"/>
        </w:rPr>
        <w:t>导师评分</w:t>
      </w:r>
    </w:p>
    <w:p w14:paraId="5A89A31E">
      <w:pPr>
        <w:ind w:firstLine="400" w:firstLineChars="200"/>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学生申请学业奖学金需获得导师同意，由导师对学生递交的科研成果材料进行初步核实；导师评分为等级制，由导师对学生在读研期间的总体表现进行评分。</w:t>
      </w:r>
    </w:p>
    <w:p w14:paraId="06950FF7">
      <w:pPr>
        <w:rPr>
          <w:rFonts w:hint="eastAsia" w:asciiTheme="minorEastAsia" w:hAnsiTheme="minorEastAsia" w:eastAsiaTheme="minorEastAsia" w:cstheme="minorEastAsia"/>
          <w:sz w:val="20"/>
          <w:szCs w:val="20"/>
          <w:highlight w:val="none"/>
        </w:rPr>
      </w:pPr>
    </w:p>
    <w:p w14:paraId="6956AB22">
      <w:pPr>
        <w:widowControl/>
        <w:spacing w:line="300" w:lineRule="auto"/>
        <w:jc w:val="left"/>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b/>
          <w:bCs/>
          <w:kern w:val="0"/>
          <w:sz w:val="20"/>
          <w:szCs w:val="20"/>
          <w:highlight w:val="none"/>
        </w:rPr>
        <w:t>五、硕士研究生学业奖学金评选工作程序</w:t>
      </w:r>
    </w:p>
    <w:p w14:paraId="7C156C20">
      <w:pPr>
        <w:widowControl/>
        <w:spacing w:line="300" w:lineRule="auto"/>
        <w:ind w:firstLine="420"/>
        <w:jc w:val="left"/>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kern w:val="0"/>
          <w:sz w:val="20"/>
          <w:szCs w:val="20"/>
          <w:highlight w:val="none"/>
        </w:rPr>
        <w:t>硕士研究生学业奖学金申请者需将申请表、成果清单和支撑材料（原件和复印件）在规定时间内上交，交通运输学院</w:t>
      </w:r>
      <w:r>
        <w:rPr>
          <w:rFonts w:hint="eastAsia" w:asciiTheme="minorEastAsia" w:hAnsiTheme="minorEastAsia" w:eastAsiaTheme="minorEastAsia" w:cstheme="minorEastAsia"/>
          <w:sz w:val="20"/>
          <w:szCs w:val="20"/>
          <w:highlight w:val="none"/>
        </w:rPr>
        <w:t>奖助学金评审小组</w:t>
      </w:r>
      <w:r>
        <w:rPr>
          <w:rFonts w:hint="eastAsia" w:asciiTheme="minorEastAsia" w:hAnsiTheme="minorEastAsia" w:eastAsiaTheme="minorEastAsia" w:cstheme="minorEastAsia"/>
          <w:kern w:val="0"/>
          <w:sz w:val="20"/>
          <w:szCs w:val="20"/>
          <w:highlight w:val="none"/>
        </w:rPr>
        <w:t>将对申请材料进行评审，确定初审名单并公示。如果对入选名单存在异议，当事人可向评审小组提出复议请求并进行复审，由交通运输学院研究生</w:t>
      </w:r>
      <w:r>
        <w:rPr>
          <w:rFonts w:hint="eastAsia" w:asciiTheme="minorEastAsia" w:hAnsiTheme="minorEastAsia" w:eastAsiaTheme="minorEastAsia" w:cstheme="minorEastAsia"/>
          <w:sz w:val="20"/>
          <w:szCs w:val="20"/>
          <w:highlight w:val="none"/>
        </w:rPr>
        <w:t>奖助学金评审小组</w:t>
      </w:r>
      <w:r>
        <w:rPr>
          <w:rFonts w:hint="eastAsia" w:asciiTheme="minorEastAsia" w:hAnsiTheme="minorEastAsia" w:eastAsiaTheme="minorEastAsia" w:cstheme="minorEastAsia"/>
          <w:kern w:val="0"/>
          <w:sz w:val="20"/>
          <w:szCs w:val="20"/>
          <w:highlight w:val="none"/>
        </w:rPr>
        <w:t>进行裁定。</w:t>
      </w:r>
    </w:p>
    <w:p w14:paraId="6B042165">
      <w:pPr>
        <w:widowControl/>
        <w:spacing w:line="300" w:lineRule="auto"/>
        <w:ind w:firstLine="420"/>
        <w:jc w:val="left"/>
        <w:rPr>
          <w:rFonts w:hint="eastAsia" w:asciiTheme="minorEastAsia" w:hAnsiTheme="minorEastAsia" w:eastAsiaTheme="minorEastAsia" w:cstheme="minorEastAsia"/>
          <w:kern w:val="0"/>
          <w:sz w:val="20"/>
          <w:szCs w:val="20"/>
          <w:highlight w:val="none"/>
        </w:rPr>
      </w:pPr>
    </w:p>
    <w:p w14:paraId="67CC5A43">
      <w:pPr>
        <w:widowControl/>
        <w:spacing w:line="300" w:lineRule="auto"/>
        <w:jc w:val="left"/>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b/>
          <w:bCs/>
          <w:kern w:val="0"/>
          <w:sz w:val="20"/>
          <w:szCs w:val="20"/>
          <w:highlight w:val="none"/>
        </w:rPr>
        <w:t>六、附则</w:t>
      </w:r>
    </w:p>
    <w:p w14:paraId="775E0DB2">
      <w:pPr>
        <w:widowControl/>
        <w:spacing w:line="300" w:lineRule="auto"/>
        <w:ind w:firstLine="400" w:firstLineChars="200"/>
        <w:jc w:val="left"/>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kern w:val="0"/>
          <w:sz w:val="20"/>
          <w:szCs w:val="20"/>
          <w:highlight w:val="none"/>
        </w:rPr>
        <w:t>（一）本次交通运输学院研究生学业奖学金评审工作的最终解释所有权归交通运输学院研究生</w:t>
      </w:r>
      <w:r>
        <w:rPr>
          <w:rFonts w:hint="eastAsia" w:asciiTheme="minorEastAsia" w:hAnsiTheme="minorEastAsia" w:eastAsiaTheme="minorEastAsia" w:cstheme="minorEastAsia"/>
          <w:sz w:val="20"/>
          <w:szCs w:val="20"/>
          <w:highlight w:val="none"/>
        </w:rPr>
        <w:t>奖助学金评审小组</w:t>
      </w:r>
      <w:r>
        <w:rPr>
          <w:rFonts w:hint="eastAsia" w:asciiTheme="minorEastAsia" w:hAnsiTheme="minorEastAsia" w:eastAsiaTheme="minorEastAsia" w:cstheme="minorEastAsia"/>
          <w:kern w:val="0"/>
          <w:sz w:val="20"/>
          <w:szCs w:val="20"/>
          <w:highlight w:val="none"/>
        </w:rPr>
        <w:t>所有。</w:t>
      </w:r>
    </w:p>
    <w:p w14:paraId="2B250749">
      <w:pPr>
        <w:widowControl/>
        <w:spacing w:line="300" w:lineRule="auto"/>
        <w:ind w:firstLine="400" w:firstLineChars="200"/>
        <w:jc w:val="left"/>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kern w:val="0"/>
          <w:sz w:val="20"/>
          <w:szCs w:val="20"/>
          <w:highlight w:val="none"/>
        </w:rPr>
        <w:t>（二）本细则公示三天后正式生效。</w:t>
      </w:r>
    </w:p>
    <w:p w14:paraId="004DB59C">
      <w:pPr>
        <w:widowControl/>
        <w:spacing w:line="300" w:lineRule="auto"/>
        <w:ind w:firstLine="400" w:firstLineChars="200"/>
        <w:jc w:val="left"/>
        <w:rPr>
          <w:rFonts w:hint="eastAsia" w:asciiTheme="minorEastAsia" w:hAnsiTheme="minorEastAsia" w:eastAsiaTheme="minorEastAsia" w:cstheme="minorEastAsia"/>
          <w:kern w:val="0"/>
          <w:sz w:val="20"/>
          <w:szCs w:val="20"/>
          <w:highlight w:val="none"/>
        </w:rPr>
      </w:pPr>
    </w:p>
    <w:p w14:paraId="46956CCF">
      <w:pPr>
        <w:wordWrap w:val="0"/>
        <w:ind w:right="630"/>
        <w:jc w:val="right"/>
        <w:rPr>
          <w:rFonts w:hint="eastAsia" w:asciiTheme="minorEastAsia" w:hAnsiTheme="minorEastAsia" w:eastAsiaTheme="minorEastAsia" w:cstheme="minorEastAsia"/>
          <w:kern w:val="0"/>
          <w:sz w:val="20"/>
          <w:szCs w:val="20"/>
          <w:highlight w:val="none"/>
        </w:rPr>
      </w:pPr>
      <w:r>
        <w:rPr>
          <w:rFonts w:hint="eastAsia" w:asciiTheme="minorEastAsia" w:hAnsiTheme="minorEastAsia" w:eastAsiaTheme="minorEastAsia" w:cstheme="minorEastAsia"/>
          <w:kern w:val="0"/>
          <w:sz w:val="20"/>
          <w:szCs w:val="20"/>
          <w:highlight w:val="none"/>
        </w:rPr>
        <w:t>交通运输学院</w:t>
      </w:r>
    </w:p>
    <w:p w14:paraId="4BBBACB9">
      <w:pPr>
        <w:wordWrap w:val="0"/>
        <w:jc w:val="right"/>
        <w:rPr>
          <w:rFonts w:hint="default" w:asciiTheme="minorEastAsia" w:hAnsiTheme="minorEastAsia" w:eastAsiaTheme="minorEastAsia" w:cstheme="minorEastAsia"/>
          <w:kern w:val="0"/>
          <w:sz w:val="20"/>
          <w:szCs w:val="20"/>
          <w:highlight w:val="none"/>
          <w:lang w:val="en-US" w:eastAsia="zh-CN"/>
        </w:rPr>
      </w:pPr>
      <w:r>
        <w:rPr>
          <w:rFonts w:hint="eastAsia" w:asciiTheme="minorEastAsia" w:hAnsiTheme="minorEastAsia" w:cstheme="minorEastAsia"/>
          <w:kern w:val="0"/>
          <w:sz w:val="20"/>
          <w:szCs w:val="20"/>
          <w:highlight w:val="none"/>
          <w:lang w:val="en-US" w:eastAsia="zh-CN"/>
        </w:rPr>
        <w:t>2026</w:t>
      </w:r>
      <w:r>
        <w:rPr>
          <w:rFonts w:hint="eastAsia" w:asciiTheme="minorEastAsia" w:hAnsiTheme="minorEastAsia" w:eastAsiaTheme="minorEastAsia" w:cstheme="minorEastAsia"/>
          <w:kern w:val="0"/>
          <w:sz w:val="20"/>
          <w:szCs w:val="20"/>
          <w:highlight w:val="none"/>
        </w:rPr>
        <w:t>年</w:t>
      </w:r>
      <w:r>
        <w:rPr>
          <w:rFonts w:hint="eastAsia" w:asciiTheme="minorEastAsia" w:hAnsiTheme="minorEastAsia" w:eastAsiaTheme="minorEastAsia" w:cstheme="minorEastAsia"/>
          <w:kern w:val="0"/>
          <w:sz w:val="20"/>
          <w:szCs w:val="20"/>
          <w:highlight w:val="none"/>
          <w:lang w:val="en-US" w:eastAsia="zh-CN"/>
        </w:rPr>
        <w:t>9</w:t>
      </w:r>
      <w:r>
        <w:rPr>
          <w:rFonts w:hint="eastAsia" w:asciiTheme="minorEastAsia" w:hAnsiTheme="minorEastAsia" w:eastAsiaTheme="minorEastAsia" w:cstheme="minorEastAsia"/>
          <w:kern w:val="0"/>
          <w:sz w:val="20"/>
          <w:szCs w:val="20"/>
          <w:highlight w:val="none"/>
        </w:rPr>
        <w:t>月</w:t>
      </w:r>
      <w:r>
        <w:rPr>
          <w:rFonts w:hint="eastAsia" w:asciiTheme="minorEastAsia" w:hAnsiTheme="minorEastAsia" w:cstheme="minorEastAsia"/>
          <w:kern w:val="0"/>
          <w:sz w:val="20"/>
          <w:szCs w:val="20"/>
          <w:highlight w:val="none"/>
          <w:lang w:val="en-US" w:eastAsia="zh-CN"/>
        </w:rPr>
        <w:t>15</w:t>
      </w:r>
      <w:r>
        <w:rPr>
          <w:rFonts w:hint="eastAsia" w:asciiTheme="minorEastAsia" w:hAnsiTheme="minorEastAsia" w:eastAsiaTheme="minorEastAsia" w:cstheme="minorEastAsia"/>
          <w:kern w:val="0"/>
          <w:sz w:val="20"/>
          <w:szCs w:val="20"/>
          <w:highlight w:val="none"/>
        </w:rPr>
        <w:t>日</w:t>
      </w:r>
      <w:r>
        <w:rPr>
          <w:rFonts w:hint="eastAsia" w:asciiTheme="minorEastAsia" w:hAnsiTheme="minorEastAsia" w:cstheme="minorEastAsia"/>
          <w:kern w:val="0"/>
          <w:sz w:val="20"/>
          <w:szCs w:val="20"/>
          <w:highlight w:val="none"/>
          <w:lang w:val="en-US" w:eastAsia="zh-CN"/>
        </w:rPr>
        <w:t xml:space="preserve">   </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Helvetica">
    <w:altName w:val="Arial"/>
    <w:panose1 w:val="020B0604020202020204"/>
    <w:charset w:val="00"/>
    <w:family w:val="swiss"/>
    <w:pitch w:val="default"/>
    <w:sig w:usb0="00000000" w:usb1="00000000" w:usb2="00000000" w:usb3="00000000" w:csb0="00000001"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56DF6E">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63B3B3">
                          <w:pPr>
                            <w:pStyle w:val="3"/>
                            <w:rPr>
                              <w:rFonts w:hint="default" w:ascii="Times New Roman" w:hAnsi="Times New Roman" w:cs="Times New Roman" w:eastAsiaTheme="minorEastAsia"/>
                              <w:lang w:eastAsia="zh-CN"/>
                            </w:rPr>
                          </w:pPr>
                          <w:r>
                            <w:rPr>
                              <w:rFonts w:hint="default" w:ascii="Times New Roman" w:hAnsi="Times New Roman" w:cs="Times New Roman"/>
                              <w:lang w:eastAsia="zh-CN"/>
                            </w:rPr>
                            <w:fldChar w:fldCharType="begin"/>
                          </w:r>
                          <w:r>
                            <w:rPr>
                              <w:rFonts w:hint="default" w:ascii="Times New Roman" w:hAnsi="Times New Roman" w:cs="Times New Roman"/>
                              <w:lang w:eastAsia="zh-CN"/>
                            </w:rPr>
                            <w:instrText xml:space="preserve"> PAGE  \* MERGEFORMAT </w:instrText>
                          </w:r>
                          <w:r>
                            <w:rPr>
                              <w:rFonts w:hint="default" w:ascii="Times New Roman" w:hAnsi="Times New Roman" w:cs="Times New Roman"/>
                              <w:lang w:eastAsia="zh-CN"/>
                            </w:rPr>
                            <w:fldChar w:fldCharType="separate"/>
                          </w:r>
                          <w:r>
                            <w:rPr>
                              <w:rFonts w:hint="default" w:ascii="Times New Roman" w:hAnsi="Times New Roman" w:cs="Times New Roman"/>
                              <w:lang w:eastAsia="zh-CN"/>
                            </w:rPr>
                            <w:t>1</w:t>
                          </w:r>
                          <w:r>
                            <w:rPr>
                              <w:rFonts w:hint="default" w:ascii="Times New Roman" w:hAnsi="Times New Roman" w:cs="Times New Roman"/>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663B3B3">
                    <w:pPr>
                      <w:pStyle w:val="3"/>
                      <w:rPr>
                        <w:rFonts w:hint="default" w:ascii="Times New Roman" w:hAnsi="Times New Roman" w:cs="Times New Roman" w:eastAsiaTheme="minorEastAsia"/>
                        <w:lang w:eastAsia="zh-CN"/>
                      </w:rPr>
                    </w:pPr>
                    <w:r>
                      <w:rPr>
                        <w:rFonts w:hint="default" w:ascii="Times New Roman" w:hAnsi="Times New Roman" w:cs="Times New Roman"/>
                        <w:lang w:eastAsia="zh-CN"/>
                      </w:rPr>
                      <w:fldChar w:fldCharType="begin"/>
                    </w:r>
                    <w:r>
                      <w:rPr>
                        <w:rFonts w:hint="default" w:ascii="Times New Roman" w:hAnsi="Times New Roman" w:cs="Times New Roman"/>
                        <w:lang w:eastAsia="zh-CN"/>
                      </w:rPr>
                      <w:instrText xml:space="preserve"> PAGE  \* MERGEFORMAT </w:instrText>
                    </w:r>
                    <w:r>
                      <w:rPr>
                        <w:rFonts w:hint="default" w:ascii="Times New Roman" w:hAnsi="Times New Roman" w:cs="Times New Roman"/>
                        <w:lang w:eastAsia="zh-CN"/>
                      </w:rPr>
                      <w:fldChar w:fldCharType="separate"/>
                    </w:r>
                    <w:r>
                      <w:rPr>
                        <w:rFonts w:hint="default" w:ascii="Times New Roman" w:hAnsi="Times New Roman" w:cs="Times New Roman"/>
                        <w:lang w:eastAsia="zh-CN"/>
                      </w:rPr>
                      <w:t>1</w:t>
                    </w:r>
                    <w:r>
                      <w:rPr>
                        <w:rFonts w:hint="default" w:ascii="Times New Roman" w:hAnsi="Times New Roman" w:cs="Times New Roman"/>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A86EB6"/>
    <w:multiLevelType w:val="singleLevel"/>
    <w:tmpl w:val="B5A86EB6"/>
    <w:lvl w:ilvl="0" w:tentative="0">
      <w:start w:val="1"/>
      <w:numFmt w:val="bullet"/>
      <w:lvlText w:val=""/>
      <w:lvlJc w:val="left"/>
      <w:pPr>
        <w:ind w:left="420" w:hanging="420"/>
      </w:pPr>
      <w:rPr>
        <w:rFonts w:hint="default" w:ascii="Wingdings" w:hAnsi="Wingdings"/>
      </w:rPr>
    </w:lvl>
  </w:abstractNum>
  <w:abstractNum w:abstractNumId="1">
    <w:nsid w:val="FFF7E35B"/>
    <w:multiLevelType w:val="singleLevel"/>
    <w:tmpl w:val="FFF7E35B"/>
    <w:lvl w:ilvl="0" w:tentative="0">
      <w:start w:val="4"/>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MwNmI4YmU4OWUwMjk1ODMxOWQ4ZGUxNGQ5NWYyZDEifQ=="/>
  </w:docVars>
  <w:rsids>
    <w:rsidRoot w:val="00000000"/>
    <w:rsid w:val="02124435"/>
    <w:rsid w:val="02BE3A7E"/>
    <w:rsid w:val="03165668"/>
    <w:rsid w:val="044C6E68"/>
    <w:rsid w:val="05A67913"/>
    <w:rsid w:val="06D575E9"/>
    <w:rsid w:val="071067E3"/>
    <w:rsid w:val="0BBF6171"/>
    <w:rsid w:val="0C656D19"/>
    <w:rsid w:val="0C70270C"/>
    <w:rsid w:val="0C9C460A"/>
    <w:rsid w:val="0D771816"/>
    <w:rsid w:val="0E4532A6"/>
    <w:rsid w:val="0F597EC4"/>
    <w:rsid w:val="1230601B"/>
    <w:rsid w:val="12883761"/>
    <w:rsid w:val="141B3EBC"/>
    <w:rsid w:val="16484080"/>
    <w:rsid w:val="16BD7FCC"/>
    <w:rsid w:val="181C50FD"/>
    <w:rsid w:val="189F6EDB"/>
    <w:rsid w:val="18B55846"/>
    <w:rsid w:val="1A3703F0"/>
    <w:rsid w:val="1AF145D4"/>
    <w:rsid w:val="1D7019C1"/>
    <w:rsid w:val="1DC455F5"/>
    <w:rsid w:val="1EFD7D2C"/>
    <w:rsid w:val="1F9312A4"/>
    <w:rsid w:val="1FAC2DA0"/>
    <w:rsid w:val="20531CF4"/>
    <w:rsid w:val="21242932"/>
    <w:rsid w:val="21B46321"/>
    <w:rsid w:val="21B60CCC"/>
    <w:rsid w:val="221A052C"/>
    <w:rsid w:val="2253555E"/>
    <w:rsid w:val="248C2682"/>
    <w:rsid w:val="24BE1285"/>
    <w:rsid w:val="24FC6D37"/>
    <w:rsid w:val="26F57C0F"/>
    <w:rsid w:val="27DD7C53"/>
    <w:rsid w:val="27EB2370"/>
    <w:rsid w:val="28D02FE9"/>
    <w:rsid w:val="29BF3AB4"/>
    <w:rsid w:val="2B4F70BA"/>
    <w:rsid w:val="2D314AB7"/>
    <w:rsid w:val="2FE46C39"/>
    <w:rsid w:val="30276EEF"/>
    <w:rsid w:val="306E3696"/>
    <w:rsid w:val="311F2241"/>
    <w:rsid w:val="3140197F"/>
    <w:rsid w:val="330662B0"/>
    <w:rsid w:val="36EC7EB3"/>
    <w:rsid w:val="370E7E29"/>
    <w:rsid w:val="39663F4D"/>
    <w:rsid w:val="3B2018DC"/>
    <w:rsid w:val="3B4378A0"/>
    <w:rsid w:val="3C414C2F"/>
    <w:rsid w:val="3C6D2CD4"/>
    <w:rsid w:val="3C940DD1"/>
    <w:rsid w:val="3C9809D2"/>
    <w:rsid w:val="3D7B789B"/>
    <w:rsid w:val="40261FAE"/>
    <w:rsid w:val="41CB034D"/>
    <w:rsid w:val="41D72836"/>
    <w:rsid w:val="41F1788B"/>
    <w:rsid w:val="426741BB"/>
    <w:rsid w:val="430237D9"/>
    <w:rsid w:val="440B6784"/>
    <w:rsid w:val="4514485C"/>
    <w:rsid w:val="459C2AA4"/>
    <w:rsid w:val="477A3236"/>
    <w:rsid w:val="478A4570"/>
    <w:rsid w:val="4A55389B"/>
    <w:rsid w:val="4B304E7D"/>
    <w:rsid w:val="4B4446E7"/>
    <w:rsid w:val="4BEC2AF7"/>
    <w:rsid w:val="4C161060"/>
    <w:rsid w:val="4DC87013"/>
    <w:rsid w:val="4DF565EC"/>
    <w:rsid w:val="4F38383D"/>
    <w:rsid w:val="50DF3A0A"/>
    <w:rsid w:val="5119599A"/>
    <w:rsid w:val="52687EBB"/>
    <w:rsid w:val="53C90F08"/>
    <w:rsid w:val="54436C12"/>
    <w:rsid w:val="54A23403"/>
    <w:rsid w:val="55B13EB6"/>
    <w:rsid w:val="572D42D7"/>
    <w:rsid w:val="57C70572"/>
    <w:rsid w:val="59435426"/>
    <w:rsid w:val="59E166E4"/>
    <w:rsid w:val="5C1376A2"/>
    <w:rsid w:val="5C156E2E"/>
    <w:rsid w:val="5C381321"/>
    <w:rsid w:val="5CAC13C7"/>
    <w:rsid w:val="5D276BDA"/>
    <w:rsid w:val="5D3513BC"/>
    <w:rsid w:val="5DB2489A"/>
    <w:rsid w:val="5EE87607"/>
    <w:rsid w:val="61E25005"/>
    <w:rsid w:val="62FD74CC"/>
    <w:rsid w:val="65982E30"/>
    <w:rsid w:val="6626652C"/>
    <w:rsid w:val="66F10A4A"/>
    <w:rsid w:val="679B6BE9"/>
    <w:rsid w:val="67E35819"/>
    <w:rsid w:val="6A5E63F6"/>
    <w:rsid w:val="6ABA716E"/>
    <w:rsid w:val="6B047C60"/>
    <w:rsid w:val="6B6E4D44"/>
    <w:rsid w:val="6C186D2A"/>
    <w:rsid w:val="6CB62C9A"/>
    <w:rsid w:val="6D6258DA"/>
    <w:rsid w:val="6D8343C6"/>
    <w:rsid w:val="6EBE56B6"/>
    <w:rsid w:val="7007196E"/>
    <w:rsid w:val="70147149"/>
    <w:rsid w:val="70B85366"/>
    <w:rsid w:val="71900B09"/>
    <w:rsid w:val="722365CC"/>
    <w:rsid w:val="726447C6"/>
    <w:rsid w:val="73193DCA"/>
    <w:rsid w:val="7416656D"/>
    <w:rsid w:val="74357F46"/>
    <w:rsid w:val="750300AC"/>
    <w:rsid w:val="754E0D48"/>
    <w:rsid w:val="7592164A"/>
    <w:rsid w:val="76504095"/>
    <w:rsid w:val="78F97518"/>
    <w:rsid w:val="79366231"/>
    <w:rsid w:val="79A60593"/>
    <w:rsid w:val="7A1C14E2"/>
    <w:rsid w:val="7ADC2911"/>
    <w:rsid w:val="7C2F7BF3"/>
    <w:rsid w:val="7CD6006E"/>
    <w:rsid w:val="7D0E0FBD"/>
    <w:rsid w:val="7E693EF8"/>
    <w:rsid w:val="7F4021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19"/>
      <w:szCs w:val="19"/>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unhideWhenUsed/>
    <w:qFormat/>
    <w:uiPriority w:val="0"/>
    <w:pPr>
      <w:widowControl/>
      <w:spacing w:after="150"/>
      <w:jc w:val="left"/>
    </w:pPr>
    <w:rPr>
      <w:rFonts w:ascii="宋体" w:hAnsi="宋体" w:eastAsia="宋体" w:cs="宋体"/>
      <w:kern w:val="0"/>
      <w:sz w:val="24"/>
      <w:szCs w:val="24"/>
    </w:rPr>
  </w:style>
  <w:style w:type="table" w:styleId="7">
    <w:name w:val="Table Grid"/>
    <w:basedOn w:val="6"/>
    <w:qFormat/>
    <w:uiPriority w:val="39"/>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9">
    <w:name w:val="List Paragraph"/>
    <w:basedOn w:val="1"/>
    <w:qFormat/>
    <w:uiPriority w:val="34"/>
    <w:pPr>
      <w:ind w:firstLine="420" w:firstLineChars="200"/>
    </w:pPr>
  </w:style>
  <w:style w:type="paragraph" w:customStyle="1" w:styleId="10">
    <w:name w:val="列出段落"/>
    <w:basedOn w:val="1"/>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9563</Words>
  <Characters>10210</Characters>
  <Lines>1</Lines>
  <Paragraphs>1</Paragraphs>
  <TotalTime>16</TotalTime>
  <ScaleCrop>false</ScaleCrop>
  <LinksUpToDate>false</LinksUpToDate>
  <CharactersWithSpaces>10237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2022-09-22T09:54:00Z</dcterms:created>
  <dc:creator>smu</dc:creator>
  <cp:lastModifiedBy>Ty</cp:lastModifiedBy>
  <dcterms:modified xsi:type="dcterms:W3CDTF">2026-09-15T07:39:58Z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96F14C04AA334ADD9548B8DD06F89AD7_12</vt:lpwstr>
  </property>
  <property fmtid="{D5CDD505-2E9C-101B-9397-08002B2CF9AE}" pid="4" name="KSOTemplateDocerSaveRecord">
    <vt:lpwstr>eyJoZGlkIjoiZTY1MTkwZDAwZDJmYjkwZjQ5NWQ3ZTNkM2QzMzlhNWUiLCJ1c2VySWQiOiI4NjQ5NjI3NjkifQ==</vt:lpwstr>
  </property>
</Properties>
</file>